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DE3" w:rsidRDefault="00B52DE3">
      <w:pPr>
        <w:widowControl w:val="0"/>
        <w:pBdr>
          <w:top w:val="single" w:sz="24" w:space="0" w:color="C00000"/>
          <w:left w:val="single" w:sz="24" w:space="0" w:color="C00000"/>
          <w:right w:val="single" w:sz="24" w:space="0" w:color="C00000"/>
        </w:pBdr>
        <w:spacing w:after="0" w:line="360" w:lineRule="auto"/>
        <w:rPr>
          <w:rFonts w:ascii="Times New Roman" w:hAnsi="Times New Roman" w:cs="Times New Roman"/>
        </w:rPr>
      </w:pPr>
    </w:p>
    <w:p w:rsidR="00B52DE3" w:rsidRDefault="0094277C">
      <w:pPr>
        <w:widowControl w:val="0"/>
        <w:pBdr>
          <w:top w:val="single" w:sz="24" w:space="0" w:color="C00000"/>
          <w:left w:val="single" w:sz="24" w:space="0" w:color="C00000"/>
          <w:right w:val="single" w:sz="24" w:space="0" w:color="C00000"/>
        </w:pBdr>
        <w:spacing w:after="0" w:line="360" w:lineRule="auto"/>
        <w:rPr>
          <w:rFonts w:ascii="Times New Roman" w:eastAsia="Times New Roman" w:hAnsi="Times New Roman" w:cs="Times New Roman"/>
        </w:rPr>
      </w:pPr>
      <w:r w:rsidRPr="0094277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margin-left:0;margin-top:0;width:50pt;height:50pt;z-index:251650560;visibility:hidden" filled="t" stroked="t">
            <v:stroke joinstyle="round"/>
            <v:path o:extrusionok="t" gradientshapeok="f" o:connecttype="segments"/>
            <o:lock v:ext="edit" aspectratio="f" selection="t"/>
          </v:shape>
        </w:pict>
      </w:r>
      <w:r w:rsidRPr="0094277C">
        <w:pict>
          <v:shape id="_x0000_i0" o:spid="_x0000_s1046" type="#_x0000_t75" style="position:absolute;margin-left:188.9pt;margin-top:18.2pt;width:89.15pt;height:112.4pt;z-index:251666944;mso-position-horizontal-relative:margin">
            <v:imagedata r:id="rId7" o:title=""/>
            <v:path textboxrect="0,0,0,0"/>
            <w10:wrap type="square" anchorx="margin"/>
          </v:shape>
        </w:pict>
      </w:r>
      <w:r w:rsidR="00DE73E3">
        <w:rPr>
          <w:rFonts w:ascii="Times New Roman" w:eastAsia="Times New Roman" w:hAnsi="Times New Roman" w:cs="Times New Roman"/>
        </w:rPr>
        <w:t xml:space="preserve">         </w:t>
      </w:r>
    </w:p>
    <w:p w:rsidR="00B52DE3" w:rsidRDefault="00B52DE3">
      <w:pPr>
        <w:widowControl w:val="0"/>
        <w:pBdr>
          <w:left w:val="single" w:sz="24" w:space="0" w:color="C00000"/>
          <w:right w:val="single" w:sz="24" w:space="0" w:color="C00000"/>
        </w:pBdr>
        <w:spacing w:after="0" w:line="360" w:lineRule="auto"/>
        <w:rPr>
          <w:rFonts w:ascii="Times New Roman" w:hAnsi="Times New Roman" w:cs="Times New Roman"/>
        </w:rPr>
      </w:pPr>
    </w:p>
    <w:p w:rsidR="00B52DE3" w:rsidRDefault="00B52DE3">
      <w:pPr>
        <w:widowControl w:val="0"/>
        <w:pBdr>
          <w:left w:val="single" w:sz="24" w:space="0" w:color="C00000"/>
          <w:right w:val="single" w:sz="24" w:space="0" w:color="C00000"/>
        </w:pBdr>
        <w:spacing w:after="0" w:line="360" w:lineRule="auto"/>
        <w:rPr>
          <w:rFonts w:ascii="Times New Roman" w:hAnsi="Times New Roman" w:cs="Times New Roman"/>
        </w:rPr>
      </w:pPr>
    </w:p>
    <w:p w:rsidR="00B52DE3" w:rsidRDefault="00B52DE3">
      <w:pPr>
        <w:widowControl w:val="0"/>
        <w:pBdr>
          <w:left w:val="single" w:sz="24" w:space="0" w:color="C00000"/>
          <w:right w:val="single" w:sz="24" w:space="0" w:color="C00000"/>
        </w:pBdr>
        <w:spacing w:after="0" w:line="360" w:lineRule="auto"/>
        <w:rPr>
          <w:rFonts w:ascii="Times New Roman" w:hAnsi="Times New Roman" w:cs="Times New Roman"/>
        </w:rPr>
      </w:pPr>
    </w:p>
    <w:p w:rsidR="00B52DE3" w:rsidRDefault="00B52DE3">
      <w:pPr>
        <w:widowControl w:val="0"/>
        <w:pBdr>
          <w:left w:val="single" w:sz="24" w:space="0" w:color="C00000"/>
          <w:right w:val="single" w:sz="24" w:space="0" w:color="C00000"/>
        </w:pBdr>
        <w:spacing w:after="0" w:line="360" w:lineRule="auto"/>
        <w:rPr>
          <w:rFonts w:ascii="Times New Roman" w:hAnsi="Times New Roman" w:cs="Times New Roman"/>
        </w:rPr>
      </w:pPr>
    </w:p>
    <w:p w:rsidR="00B52DE3" w:rsidRDefault="00B52DE3">
      <w:pPr>
        <w:widowControl w:val="0"/>
        <w:pBdr>
          <w:left w:val="single" w:sz="24" w:space="0" w:color="C00000"/>
          <w:right w:val="single" w:sz="24" w:space="0" w:color="C00000"/>
        </w:pBdr>
        <w:spacing w:after="0" w:line="360" w:lineRule="auto"/>
        <w:rPr>
          <w:rFonts w:ascii="Times New Roman" w:hAnsi="Times New Roman" w:cs="Times New Roman"/>
        </w:rPr>
      </w:pPr>
    </w:p>
    <w:p w:rsidR="00B52DE3" w:rsidRDefault="00B52DE3">
      <w:pPr>
        <w:widowControl w:val="0"/>
        <w:pBdr>
          <w:left w:val="single" w:sz="24" w:space="0" w:color="C00000"/>
          <w:right w:val="single" w:sz="24" w:space="0" w:color="C00000"/>
        </w:pBdr>
        <w:spacing w:after="0" w:line="360" w:lineRule="auto"/>
        <w:rPr>
          <w:rFonts w:ascii="Times New Roman" w:hAnsi="Times New Roman" w:cs="Times New Roman"/>
        </w:rPr>
      </w:pPr>
    </w:p>
    <w:p w:rsidR="00B52DE3" w:rsidRDefault="00B52DE3">
      <w:pPr>
        <w:widowControl w:val="0"/>
        <w:pBdr>
          <w:left w:val="single" w:sz="24" w:space="0" w:color="C00000"/>
          <w:right w:val="single" w:sz="24" w:space="0" w:color="C00000"/>
        </w:pBdr>
        <w:spacing w:after="0" w:line="360" w:lineRule="auto"/>
        <w:rPr>
          <w:rFonts w:ascii="Times New Roman" w:hAnsi="Times New Roman" w:cs="Times New Roman"/>
        </w:rPr>
      </w:pPr>
    </w:p>
    <w:p w:rsidR="00B52DE3" w:rsidRDefault="00B52DE3">
      <w:pPr>
        <w:widowControl w:val="0"/>
        <w:pBdr>
          <w:left w:val="single" w:sz="24" w:space="0" w:color="C00000"/>
          <w:right w:val="single" w:sz="24" w:space="0" w:color="C00000"/>
        </w:pBdr>
        <w:spacing w:after="0" w:line="360" w:lineRule="auto"/>
        <w:rPr>
          <w:rFonts w:ascii="Times New Roman" w:hAnsi="Times New Roman" w:cs="Times New Roman"/>
        </w:rPr>
      </w:pPr>
    </w:p>
    <w:p w:rsidR="00B52DE3" w:rsidRDefault="00B52DE3">
      <w:pPr>
        <w:widowControl w:val="0"/>
        <w:pBdr>
          <w:left w:val="single" w:sz="24" w:space="0" w:color="C00000"/>
          <w:right w:val="single" w:sz="24" w:space="0" w:color="C00000"/>
        </w:pBdr>
        <w:spacing w:after="0" w:line="360" w:lineRule="auto"/>
        <w:rPr>
          <w:rFonts w:ascii="Times New Roman" w:hAnsi="Times New Roman" w:cs="Times New Roman"/>
        </w:rPr>
      </w:pPr>
    </w:p>
    <w:p w:rsidR="00B52DE3" w:rsidRDefault="00DE73E3">
      <w:pPr>
        <w:widowControl w:val="0"/>
        <w:pBdr>
          <w:left w:val="single" w:sz="24" w:space="0" w:color="C00000"/>
          <w:right w:val="single" w:sz="24" w:space="0" w:color="C00000"/>
        </w:pBdr>
        <w:spacing w:after="0" w:line="360" w:lineRule="auto"/>
        <w:jc w:val="center"/>
        <w:rPr>
          <w:rFonts w:ascii="Times New Roman" w:hAnsi="Times New Roman" w:cs="Times New Roman"/>
        </w:rPr>
      </w:pPr>
      <w:r>
        <w:rPr>
          <w:rFonts w:ascii="Times New Roman" w:eastAsia="Times New Roman" w:hAnsi="Times New Roman" w:cs="Times New Roman"/>
          <w:b/>
          <w:color w:val="17365D"/>
          <w:sz w:val="32"/>
          <w:szCs w:val="32"/>
        </w:rPr>
        <w:t>ОТЧЕТ</w:t>
      </w:r>
    </w:p>
    <w:p w:rsidR="00B52DE3" w:rsidRDefault="00DE73E3">
      <w:pPr>
        <w:widowControl w:val="0"/>
        <w:pBdr>
          <w:left w:val="single" w:sz="24" w:space="0" w:color="C00000"/>
          <w:right w:val="single" w:sz="24" w:space="0" w:color="C00000"/>
        </w:pBdr>
        <w:spacing w:after="0" w:line="360" w:lineRule="auto"/>
        <w:jc w:val="center"/>
        <w:rPr>
          <w:rFonts w:ascii="Times New Roman" w:hAnsi="Times New Roman" w:cs="Times New Roman"/>
        </w:rPr>
      </w:pPr>
      <w:r>
        <w:rPr>
          <w:rFonts w:ascii="Times New Roman" w:eastAsia="Times New Roman" w:hAnsi="Times New Roman" w:cs="Times New Roman"/>
          <w:b/>
          <w:color w:val="17365D"/>
          <w:sz w:val="32"/>
          <w:szCs w:val="32"/>
        </w:rPr>
        <w:t xml:space="preserve">главы Уссурийского городского округа Приморского края </w:t>
      </w:r>
    </w:p>
    <w:p w:rsidR="00B52DE3" w:rsidRDefault="00DE73E3">
      <w:pPr>
        <w:widowControl w:val="0"/>
        <w:pBdr>
          <w:left w:val="single" w:sz="24" w:space="0" w:color="C00000"/>
          <w:right w:val="single" w:sz="24" w:space="0" w:color="C00000"/>
        </w:pBdr>
        <w:spacing w:after="0" w:line="360" w:lineRule="auto"/>
        <w:jc w:val="center"/>
        <w:rPr>
          <w:rFonts w:ascii="Times New Roman" w:hAnsi="Times New Roman" w:cs="Times New Roman"/>
        </w:rPr>
      </w:pPr>
      <w:r>
        <w:rPr>
          <w:rFonts w:ascii="Times New Roman" w:eastAsia="Times New Roman" w:hAnsi="Times New Roman" w:cs="Times New Roman"/>
          <w:b/>
          <w:color w:val="17365D"/>
          <w:sz w:val="32"/>
          <w:szCs w:val="32"/>
        </w:rPr>
        <w:t>о результатах своей деятельности и результатах деятельности</w:t>
      </w:r>
    </w:p>
    <w:p w:rsidR="00B52DE3" w:rsidRDefault="00DE73E3">
      <w:pPr>
        <w:widowControl w:val="0"/>
        <w:pBdr>
          <w:left w:val="single" w:sz="24" w:space="0" w:color="C00000"/>
          <w:right w:val="single" w:sz="24" w:space="0" w:color="C00000"/>
        </w:pBdr>
        <w:spacing w:after="0" w:line="360" w:lineRule="auto"/>
        <w:jc w:val="center"/>
        <w:rPr>
          <w:rFonts w:ascii="Times New Roman" w:hAnsi="Times New Roman" w:cs="Times New Roman"/>
        </w:rPr>
      </w:pPr>
      <w:r>
        <w:rPr>
          <w:rFonts w:ascii="Times New Roman" w:eastAsia="Times New Roman" w:hAnsi="Times New Roman" w:cs="Times New Roman"/>
          <w:b/>
          <w:color w:val="17365D"/>
          <w:sz w:val="32"/>
          <w:szCs w:val="32"/>
        </w:rPr>
        <w:t xml:space="preserve">администрации Уссурийского городского округа Приморского края </w:t>
      </w:r>
    </w:p>
    <w:p w:rsidR="00B52DE3" w:rsidRDefault="00DE73E3">
      <w:pPr>
        <w:widowControl w:val="0"/>
        <w:pBdr>
          <w:left w:val="single" w:sz="24" w:space="0" w:color="C00000"/>
          <w:right w:val="single" w:sz="24" w:space="0" w:color="C00000"/>
        </w:pBdr>
        <w:spacing w:after="0" w:line="360" w:lineRule="auto"/>
        <w:jc w:val="center"/>
        <w:rPr>
          <w:rFonts w:ascii="Times New Roman" w:hAnsi="Times New Roman" w:cs="Times New Roman"/>
        </w:rPr>
      </w:pPr>
      <w:r>
        <w:rPr>
          <w:rFonts w:ascii="Times New Roman" w:eastAsia="Times New Roman" w:hAnsi="Times New Roman" w:cs="Times New Roman"/>
          <w:b/>
          <w:color w:val="17365D"/>
          <w:sz w:val="32"/>
          <w:szCs w:val="32"/>
        </w:rPr>
        <w:t>в 2025 году</w:t>
      </w: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B52DE3">
      <w:pPr>
        <w:widowControl w:val="0"/>
        <w:pBdr>
          <w:left w:val="single" w:sz="24" w:space="0" w:color="C00000"/>
          <w:right w:val="single" w:sz="24" w:space="0" w:color="C00000"/>
        </w:pBdr>
        <w:spacing w:after="0" w:line="360" w:lineRule="auto"/>
        <w:jc w:val="center"/>
        <w:rPr>
          <w:rFonts w:ascii="Times New Roman" w:hAnsi="Times New Roman" w:cs="Times New Roman"/>
          <w:b/>
          <w:color w:val="17365D"/>
          <w:sz w:val="32"/>
          <w:szCs w:val="32"/>
        </w:rPr>
      </w:pPr>
    </w:p>
    <w:p w:rsidR="00B52DE3" w:rsidRDefault="00DE73E3">
      <w:pPr>
        <w:widowControl w:val="0"/>
        <w:pBdr>
          <w:left w:val="single" w:sz="24" w:space="0" w:color="C00000"/>
          <w:bottom w:val="single" w:sz="24" w:space="0" w:color="C00000"/>
          <w:right w:val="single" w:sz="24" w:space="0" w:color="C00000"/>
        </w:pBdr>
        <w:spacing w:after="0" w:line="360" w:lineRule="auto"/>
        <w:jc w:val="center"/>
        <w:rPr>
          <w:rFonts w:ascii="Times New Roman" w:hAnsi="Times New Roman" w:cs="Times New Roman"/>
        </w:rPr>
      </w:pPr>
      <w:r>
        <w:rPr>
          <w:rFonts w:ascii="Times New Roman" w:eastAsia="Times New Roman" w:hAnsi="Times New Roman" w:cs="Times New Roman"/>
          <w:b/>
          <w:i/>
          <w:color w:val="17365D"/>
          <w:sz w:val="32"/>
          <w:szCs w:val="32"/>
        </w:rPr>
        <w:t xml:space="preserve">2025 </w:t>
      </w:r>
    </w:p>
    <w:p w:rsidR="00B52DE3" w:rsidRDefault="00DE73E3">
      <w:pPr>
        <w:pStyle w:val="1f7"/>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rPr>
        <w:lastRenderedPageBreak/>
        <w:t>СОДЕРЖАНИЕ</w:t>
      </w:r>
    </w:p>
    <w:sdt>
      <w:sdtPr>
        <w:id w:val="1629741594"/>
        <w:docPartObj>
          <w:docPartGallery w:val="Table of Contents"/>
          <w:docPartUnique/>
        </w:docPartObj>
      </w:sdtPr>
      <w:sdtContent>
        <w:p w:rsidR="00B52DE3" w:rsidRDefault="0094277C">
          <w:pPr>
            <w:pStyle w:val="1f2"/>
            <w:tabs>
              <w:tab w:val="right" w:leader="dot" w:pos="9355"/>
            </w:tabs>
            <w:rPr>
              <w:rFonts w:ascii="Times New Roman" w:hAnsi="Times New Roman" w:cs="Times New Roman"/>
              <w:sz w:val="28"/>
              <w:szCs w:val="28"/>
            </w:rPr>
          </w:pPr>
          <w:r w:rsidRPr="0094277C">
            <w:fldChar w:fldCharType="begin"/>
          </w:r>
          <w:r w:rsidR="00DE73E3">
            <w:rPr>
              <w:rFonts w:ascii="Times New Roman" w:eastAsia="Times New Roman" w:hAnsi="Times New Roman" w:cs="Times New Roman"/>
              <w:sz w:val="28"/>
              <w:szCs w:val="28"/>
            </w:rPr>
            <w:instrText xml:space="preserve"> TOC \o "1-9" \h</w:instrText>
          </w:r>
          <w:r w:rsidRPr="0094277C">
            <w:rPr>
              <w:rFonts w:ascii="Times New Roman" w:eastAsia="Times New Roman" w:hAnsi="Times New Roman" w:cs="Times New Roman"/>
              <w:sz w:val="28"/>
              <w:szCs w:val="28"/>
            </w:rPr>
            <w:fldChar w:fldCharType="separate"/>
          </w:r>
          <w:r w:rsidR="00DE73E3">
            <w:rPr>
              <w:rFonts w:ascii="Times New Roman" w:eastAsia="Times New Roman" w:hAnsi="Times New Roman" w:cs="Times New Roman"/>
              <w:sz w:val="28"/>
              <w:szCs w:val="28"/>
            </w:rPr>
            <w:t>ВВЕДЕНИЕ</w:t>
          </w:r>
          <w:r w:rsidR="00DE73E3">
            <w:rPr>
              <w:sz w:val="28"/>
              <w:szCs w:val="28"/>
            </w:rPr>
            <w:tab/>
            <w:t>12</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ИНФОРМАЦИЯ ОБ УССУРИЙСКОМ ГОРОДСКОМ ОКРУГЕ ПРИМОРСКОГО КРАЯ </w:t>
          </w:r>
          <w:r>
            <w:rPr>
              <w:sz w:val="28"/>
              <w:szCs w:val="28"/>
            </w:rPr>
            <w:tab/>
            <w:t>15</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Общие сведения</w:t>
          </w:r>
          <w:r>
            <w:rPr>
              <w:sz w:val="28"/>
              <w:szCs w:val="28"/>
            </w:rPr>
            <w:tab/>
            <w:t>15</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ОРГАНИЗАЦИЯ РАБОТЫ АДМИНИСТРАЦИИ УССУРИЙСКОГО ГОРОДСКОГО ОКРУГА ПРИМОРСКОГО КРАЯ И ВЗАИМОДЕЙСТВИЕ С ДУМОЙ УССУРИЙСКОГО ГОРОДСКОГО ОКРУГА ПРИМОРСКОГО КРАЯ </w:t>
          </w:r>
          <w:r>
            <w:rPr>
              <w:sz w:val="28"/>
              <w:szCs w:val="28"/>
            </w:rPr>
            <w:tab/>
            <w:t>16</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Обеспечение контроля над исполнением в установленные сроки нормативных правовых актов</w:t>
          </w:r>
          <w:r>
            <w:rPr>
              <w:sz w:val="28"/>
              <w:szCs w:val="28"/>
            </w:rPr>
            <w:tab/>
            <w:t>16</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Соблюдение преемственности в планировании администрации Уссурийского городского округа</w:t>
          </w:r>
          <w:r>
            <w:rPr>
              <w:sz w:val="28"/>
              <w:szCs w:val="28"/>
            </w:rPr>
            <w:tab/>
            <w:t>17</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Обеспечение единого порядка документирования,                                организация работы с документами</w:t>
          </w:r>
          <w:r>
            <w:rPr>
              <w:sz w:val="28"/>
              <w:szCs w:val="28"/>
            </w:rPr>
            <w:tab/>
            <w:t>18</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Работа с обращениями граждан, поступающими на имя главы, первых заместителей главы администрации, заместителей главы администрации Уссурийского городского округа Приморского края </w:t>
          </w:r>
          <w:r>
            <w:rPr>
              <w:sz w:val="28"/>
              <w:szCs w:val="28"/>
            </w:rPr>
            <w:tab/>
            <w:t>20</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Организационно-техническое обеспечение подготовки выборов, а также подготовки к проведению празднования 80-й годовщины Победы в Великой Отечественной войне</w:t>
          </w:r>
          <w:r>
            <w:rPr>
              <w:sz w:val="28"/>
              <w:szCs w:val="28"/>
            </w:rPr>
            <w:tab/>
            <w:t>22</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СОСТАВЛЕНИЕ И РАССМОТРЕНИЕ ПРОЕКТА БЮДЖЕТА, УТВЕРЖДЕНИЕ И ИСПОЛНЕНИЕМ БЮДЖЕТА, ОСУЩЕСТВЛЕНИЕ КОНТРОЛЯ ЗА ЕГО ИСПОЛНЕНИЕМ, СОСТАВЛЕНИЕ И УТВЕРЖДЕНИЕ ОТЧЕТА ОБ ИСПОЛНЕНИИ БЮДЖЕТА УССУРИЙСКОГО ГОРОДСКОГО ОКРУГА ПРИМОРСКОГО КРАЯ </w:t>
          </w:r>
          <w:r>
            <w:rPr>
              <w:sz w:val="28"/>
              <w:szCs w:val="28"/>
            </w:rPr>
            <w:tab/>
            <w:t>24</w:t>
          </w:r>
        </w:p>
        <w:p w:rsidR="00B52DE3" w:rsidRDefault="00DE73E3">
          <w:pPr>
            <w:pStyle w:val="1f2"/>
            <w:tabs>
              <w:tab w:val="right" w:leader="dot" w:pos="9355"/>
            </w:tabs>
            <w:rPr>
              <w:rFonts w:ascii="Times New Roman" w:eastAsia="Times New Roman" w:hAnsi="Times New Roman" w:cs="Times New Roman"/>
              <w:sz w:val="28"/>
              <w:szCs w:val="28"/>
            </w:rPr>
          </w:pPr>
          <w:r>
            <w:rPr>
              <w:rFonts w:ascii="Times New Roman" w:eastAsia="Times New Roman" w:hAnsi="Times New Roman" w:cs="Times New Roman"/>
              <w:sz w:val="28"/>
              <w:szCs w:val="28"/>
            </w:rPr>
            <w:t>ВЛАДЕНИЕ, ПОЛЬЗОВАНИЕ И РАСПОРЯЖЕНИЕ ИМУЩЕСТВОМ, НАХОДЯЩИМСЯ В МУНИЦИПАЛЬНОЙ СОБСТВЕННОСТИ ГОРОДСКОГО ОКРУГА</w:t>
          </w:r>
          <w:r>
            <w:rPr>
              <w:sz w:val="28"/>
              <w:szCs w:val="28"/>
            </w:rPr>
            <w:tab/>
            <w:t>37</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Владение и пользование муниципальным имуществом</w:t>
          </w:r>
          <w:r>
            <w:rPr>
              <w:sz w:val="28"/>
              <w:szCs w:val="28"/>
            </w:rPr>
            <w:tab/>
            <w:t>37</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Распоряжение муниципальным имуществом</w:t>
          </w:r>
          <w:r>
            <w:rPr>
              <w:sz w:val="28"/>
              <w:szCs w:val="28"/>
            </w:rPr>
            <w:tab/>
            <w:t>42</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Выявление правообладателей ранее учтенных объектов недвижимости (за исключением земельных участков, гаражей)</w:t>
          </w:r>
          <w:r>
            <w:rPr>
              <w:sz w:val="28"/>
              <w:szCs w:val="28"/>
            </w:rPr>
            <w:tab/>
            <w:t>45</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lastRenderedPageBreak/>
            <w:t>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УСТВАНОВЛЕННЫХ ЗАКОНОДАТЕЛЬСТВОМ РОССИЙСКОЙ ФЕДЕРАЦИИ</w:t>
          </w:r>
          <w:r>
            <w:rPr>
              <w:sz w:val="28"/>
              <w:szCs w:val="28"/>
            </w:rPr>
            <w:tab/>
            <w:t>45</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ДОРОЖНАЯ ДЕЯТЕЛЬНОСТЬ В ОТНОШЕНИИ АВТОМОБИЛЬНЫХ ДОРОГ МЕСТНОГО ЗНАЧЕНИЯ В ГРАНИЦАХ ГОРОДСКОГО ОКРУГА </w:t>
          </w:r>
          <w:r>
            <w:rPr>
              <w:sz w:val="28"/>
              <w:szCs w:val="28"/>
            </w:rPr>
            <w:tab/>
            <w:t>49</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r>
            <w:rPr>
              <w:sz w:val="28"/>
              <w:szCs w:val="28"/>
            </w:rPr>
            <w:tab/>
            <w:t>52</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СОЗДАНИЕ УСЛОВИЙ ДЛЯ ПРЕДОСТАВЛЕНИЯ ТРАНСПОРТНЫХ УСЛУГ НАСЕЛЕНИЮ И ОРГАНИЗАЦИЯ ТРАНСПОРТНОГО ОБСЛУЖИВАНИЯ НАСЕЛЕНИЯ В ГРАНИЦАХ ГОРОДСКОГО ОКРУГА. </w:t>
          </w:r>
          <w:r>
            <w:rPr>
              <w:sz w:val="28"/>
              <w:szCs w:val="28"/>
            </w:rPr>
            <w:tab/>
            <w:t>60</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r>
            <w:rPr>
              <w:sz w:val="28"/>
              <w:szCs w:val="28"/>
            </w:rPr>
            <w:tab/>
            <w:t>61</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Взаимодействие с подразделениями территориальных органов исполнительной власти в вопросах охраны общественного порядка и общественной безопасности, профилактики терроризма и экстремизма, профилактики наркомании на территории Уссурийского городского округа Приморского края </w:t>
          </w:r>
          <w:r>
            <w:rPr>
              <w:sz w:val="28"/>
              <w:szCs w:val="28"/>
            </w:rPr>
            <w:tab/>
            <w:t>61</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Деятельность, направленная на профилактику наркомании, реабилитацию и ресоциализацию наркозависимых лиц </w:t>
          </w:r>
          <w:r>
            <w:rPr>
              <w:sz w:val="28"/>
              <w:szCs w:val="28"/>
            </w:rPr>
            <w:tab/>
            <w:t>63</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Оказание поддержки гражданам и их объединениям, участвующим в охране общественного порядка, создание условий для деятельности народных дружин</w:t>
          </w:r>
          <w:r>
            <w:rPr>
              <w:sz w:val="28"/>
              <w:szCs w:val="28"/>
            </w:rPr>
            <w:tab/>
            <w:t>65</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Деятельность по внесению изменений в списки кандидатов в присяжные заседатели от Уссурийского городского округа   в Федеральные суды общей юрисдикции </w:t>
          </w:r>
          <w:r>
            <w:rPr>
              <w:sz w:val="28"/>
              <w:szCs w:val="28"/>
            </w:rPr>
            <w:tab/>
            <w:t>68</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lastRenderedPageBreak/>
            <w:t>Ведение мониторинга общественно-политической ситуации на территории Уссурийского городского округа</w:t>
          </w:r>
          <w:r>
            <w:rPr>
              <w:sz w:val="28"/>
              <w:szCs w:val="28"/>
            </w:rPr>
            <w:tab/>
            <w:t>69</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ОБЕСПЕЧЕНИЕ ПЕРВИЧНЫХ МЕР ПОЖАРНОЙ БЕЗОПАСНОСТИ В ГРАНИЦАХ ГОРОДСКОГО ОКРУГА</w:t>
          </w:r>
          <w:r>
            <w:rPr>
              <w:sz w:val="28"/>
              <w:szCs w:val="28"/>
            </w:rPr>
            <w:tab/>
            <w:t>69</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ОРГАНИЗАЦИЯ МЕРОПРИЯТИЙ ПО ОХРАНЕ ОКРУЖАЮЩЕЙ СРЕДЫ В ГРАНИЦАХ ГОРОДСКОГО ОКРУГА</w:t>
          </w:r>
          <w:r>
            <w:rPr>
              <w:sz w:val="28"/>
              <w:szCs w:val="28"/>
            </w:rPr>
            <w:tab/>
            <w:t>73</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Pr>
              <w:sz w:val="28"/>
              <w:szCs w:val="28"/>
            </w:rPr>
            <w:tab/>
            <w:t>74</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Государственная (итоговая) аттестация на территории Уссурийского городского округа</w:t>
          </w:r>
          <w:r>
            <w:rPr>
              <w:sz w:val="28"/>
              <w:szCs w:val="28"/>
            </w:rPr>
            <w:tab/>
            <w:t>75</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Внеучебные достижения</w:t>
          </w:r>
          <w:r>
            <w:rPr>
              <w:sz w:val="28"/>
              <w:szCs w:val="28"/>
            </w:rPr>
            <w:tab/>
            <w:t>79</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Дошкольное образование</w:t>
          </w:r>
          <w:r>
            <w:rPr>
              <w:sz w:val="28"/>
              <w:szCs w:val="28"/>
            </w:rPr>
            <w:tab/>
            <w:t>80</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Дополнительное образование детей</w:t>
          </w:r>
          <w:r>
            <w:rPr>
              <w:sz w:val="28"/>
              <w:szCs w:val="28"/>
            </w:rPr>
            <w:tab/>
            <w:t>83</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Организация отдыха, оздоровления и занятости детей</w:t>
          </w:r>
          <w:r>
            <w:rPr>
              <w:rFonts w:ascii="Times New Roman" w:hAnsi="Times New Roman" w:cs="Times New Roman"/>
              <w:sz w:val="28"/>
              <w:szCs w:val="28"/>
            </w:rPr>
            <w:t xml:space="preserve"> </w:t>
          </w:r>
          <w:r>
            <w:rPr>
              <w:rFonts w:ascii="Times New Roman" w:eastAsia="Times New Roman" w:hAnsi="Times New Roman" w:cs="Times New Roman"/>
              <w:sz w:val="28"/>
              <w:szCs w:val="28"/>
            </w:rPr>
            <w:t>в каникулярное время</w:t>
          </w:r>
          <w:r>
            <w:rPr>
              <w:sz w:val="28"/>
              <w:szCs w:val="28"/>
            </w:rPr>
            <w:tab/>
            <w:t>84</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Организация безопасности образовательных учреждений</w:t>
          </w:r>
          <w:r>
            <w:rPr>
              <w:sz w:val="28"/>
              <w:szCs w:val="28"/>
            </w:rPr>
            <w:tab/>
            <w:t>87</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lastRenderedPageBreak/>
            <w:t>Финансирование образования</w:t>
          </w:r>
          <w:r>
            <w:rPr>
              <w:sz w:val="28"/>
              <w:szCs w:val="28"/>
            </w:rPr>
            <w:tab/>
            <w:t>88</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 Рост заработной платы работников образовательных </w:t>
          </w:r>
          <w:r w:rsidR="0094277C" w:rsidRPr="0094277C">
            <w:pict>
              <v:shape id="_x0000_s1045" type="#_x0000_t75" style="position:absolute;left:0;text-align:left;margin-left:0;margin-top:0;width:50pt;height:50pt;z-index:251651584;visibility:hidden;mso-position-horizontal-relative:text;mso-position-vertical-relative:text" filled="t" stroked="t">
                <v:stroke joinstyle="round"/>
                <v:path o:extrusionok="t" gradientshapeok="f" o:connecttype="segments"/>
                <o:lock v:ext="edit" aspectratio="f" selection="t"/>
              </v:shape>
            </w:pict>
          </w:r>
          <w:r w:rsidR="001A5B25">
            <w:pict>
              <v:shape id="_x0000_i1025" type="#_x0000_t75" style="width:1.5pt;height:1.5pt;mso-wrap-distance-left:0;mso-wrap-distance-top:0;mso-wrap-distance-right:0;mso-wrap-distance-bottom:0">
                <v:imagedata r:id="rId8" o:title=""/>
                <v:path textboxrect="0,0,0,0"/>
              </v:shape>
            </w:pict>
          </w:r>
          <w:r>
            <w:rPr>
              <w:rFonts w:ascii="Times New Roman" w:eastAsia="Times New Roman" w:hAnsi="Times New Roman" w:cs="Times New Roman"/>
              <w:sz w:val="28"/>
              <w:szCs w:val="28"/>
            </w:rPr>
            <w:t xml:space="preserve">учреждений Уссурийского городского округа Приморского края </w:t>
          </w:r>
          <w:r>
            <w:rPr>
              <w:sz w:val="28"/>
              <w:szCs w:val="28"/>
            </w:rPr>
            <w:tab/>
            <w:t>89</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Совершенствование инфраструктуры в сфере образования</w:t>
          </w:r>
          <w:r w:rsidR="0094277C" w:rsidRPr="0094277C">
            <w:pict>
              <v:shape id="_x0000_s1043" type="#_x0000_t75" style="position:absolute;left:0;text-align:left;margin-left:0;margin-top:0;width:50pt;height:50pt;z-index:251652608;visibility:hidden;mso-position-horizontal-relative:text;mso-position-vertical-relative:text" filled="t" stroked="t">
                <v:stroke joinstyle="round"/>
                <v:path o:extrusionok="t" gradientshapeok="f" o:connecttype="segments"/>
                <o:lock v:ext="edit" aspectratio="f" selection="t"/>
              </v:shape>
            </w:pict>
          </w:r>
          <w:r w:rsidR="001A5B25">
            <w:pict>
              <v:shape id="_x0000_i1026" type="#_x0000_t75" style="width:1.5pt;height:2pt;mso-wrap-distance-left:0;mso-wrap-distance-top:0;mso-wrap-distance-right:0;mso-wrap-distance-bottom:0">
                <v:imagedata r:id="rId9" o:title=""/>
                <v:path textboxrect="0,0,0,0"/>
              </v:shape>
            </w:pict>
          </w:r>
          <w:r>
            <w:rPr>
              <w:sz w:val="28"/>
              <w:szCs w:val="28"/>
            </w:rPr>
            <w:tab/>
            <w:t>90</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СОЗДАНИЕ УСЛОВИЙ ДЛЯ ОБЕСПЕЧЕНИЯ ЖИТЕЛЕЙ МУНИЦИПАЛЬНОГО, ГОРОДСКОГО ОКРУГА УСЛУГАМИ СВЯЗИ, ОБЩЕСТВЕННОГО ПИТАНИЯ, ТОРГОВЛИ И БЫТОВОГО ОБСЛУЖИВАНИЯ</w:t>
          </w:r>
          <w:r>
            <w:rPr>
              <w:sz w:val="28"/>
              <w:szCs w:val="28"/>
            </w:rPr>
            <w:tab/>
            <w:t>105</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r>
            <w:rPr>
              <w:sz w:val="28"/>
              <w:szCs w:val="28"/>
            </w:rPr>
            <w:tab/>
            <w:t>112</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СОЗДАНИЕ УСЛОВИЙ ДЛЯ ОРГАНИЗАЦИИ ДОСУГА И ОБЕСПЕЧЕНИЯ ЖИТЕЛЕЙ ГОРОДСКОГО ОКРУГА УСЛУГАМИ ОРГАНИЗАЦИЙ КУЛЬТУРЫ</w:t>
          </w:r>
          <w:r>
            <w:rPr>
              <w:sz w:val="28"/>
              <w:szCs w:val="28"/>
            </w:rPr>
            <w:tab/>
            <w:t>121</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Организация предоставления дополнительного образования детей в муниципальных учреждениях культуры и искусства Уссурийского городского округа</w:t>
          </w:r>
          <w:r>
            <w:rPr>
              <w:sz w:val="28"/>
              <w:szCs w:val="28"/>
            </w:rPr>
            <w:tab/>
            <w:t>127</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Театральная деятельность</w:t>
          </w:r>
          <w:r>
            <w:rPr>
              <w:sz w:val="28"/>
              <w:szCs w:val="28"/>
            </w:rPr>
            <w:tab/>
            <w:t>129</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Организация музейной деятельности</w:t>
          </w:r>
          <w:r>
            <w:rPr>
              <w:sz w:val="28"/>
              <w:szCs w:val="28"/>
            </w:rPr>
            <w:tab/>
            <w:t>133</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Итоги реализации программы «Волонтеры культуры» в рамках Национального проекта «Семья» в 2025 году</w:t>
          </w:r>
          <w:r>
            <w:rPr>
              <w:sz w:val="28"/>
              <w:szCs w:val="28"/>
            </w:rPr>
            <w:tab/>
            <w:t>137</w:t>
          </w:r>
        </w:p>
        <w:p w:rsidR="00B52DE3" w:rsidRDefault="00DE73E3">
          <w:pPr>
            <w:pStyle w:val="1f2"/>
            <w:tabs>
              <w:tab w:val="right" w:leader="dot" w:pos="9355"/>
            </w:tabs>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r>
            <w:rPr>
              <w:sz w:val="28"/>
              <w:szCs w:val="28"/>
            </w:rPr>
            <w:tab/>
            <w:t>138</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r>
            <w:rPr>
              <w:sz w:val="28"/>
              <w:szCs w:val="28"/>
            </w:rPr>
            <w:tab/>
            <w:t>142</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ОБЕСПЕЧЕНИЕ УСЛОВИЙ ДЛЯ РАЗВИТИЯ НА ТЕРРИТОРИИ ГОРОДСКОГО ОКРУГА ФИЗИЧЕСКОЙ КУЛЬТУРЫ, ШКОЛЬНОГО СПОРТА И МАССОВОГО СПОРТА, ОРГАНИЗАЦИЯ ПРОВЕДЕНИЯ </w:t>
          </w:r>
          <w:r>
            <w:rPr>
              <w:rFonts w:ascii="Times New Roman" w:eastAsia="Times New Roman" w:hAnsi="Times New Roman" w:cs="Times New Roman"/>
              <w:sz w:val="28"/>
              <w:szCs w:val="28"/>
              <w:lang w:eastAsia="ru-RU"/>
            </w:rPr>
            <w:lastRenderedPageBreak/>
            <w:t>ОФИЦИАЛЬНЫХ ФИЗКУЛЬТУРНО-ОЗДОРОВИТЕЛЬНЫХ И СПОРТИВНЫХ МЕРОПРИЯТИЙ ГОРОДСКОГО ОКРУГА</w:t>
          </w:r>
          <w:r>
            <w:rPr>
              <w:sz w:val="28"/>
              <w:szCs w:val="28"/>
            </w:rPr>
            <w:tab/>
            <w:t>148</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СОЗДАНИЕ УСЛОВИЙ ДЛЯ МАССОВОГО ОТДЫХА ЖИТЕЛЕЙ МУНИЦИПАЛЬНОГО, ГОРОДСКОГО ОКРУГА И ОРГАНИЗАЦИЯ ОБУСТРОЙСТВА МЕСТ МАССОВОГО ОТДЫХА НАСЕЛЕНИЯ</w:t>
          </w:r>
          <w:r>
            <w:rPr>
              <w:sz w:val="28"/>
              <w:szCs w:val="28"/>
            </w:rPr>
            <w:tab/>
            <w:t>155</w:t>
          </w:r>
        </w:p>
        <w:p w:rsidR="00B52DE3" w:rsidRDefault="00DE73E3">
          <w:pPr>
            <w:pStyle w:val="1f2"/>
            <w:tabs>
              <w:tab w:val="right" w:leader="dot" w:pos="9355"/>
            </w:tabs>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 СОДЕРЖАНИЕ МУНИЦИПАЛЬНОГО АРХИВА</w:t>
          </w:r>
          <w:r>
            <w:rPr>
              <w:sz w:val="28"/>
              <w:szCs w:val="28"/>
            </w:rPr>
            <w:tab/>
            <w:t>157</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ОРГАНИЗАЦИЯ РИТУАЛЬНЫХ УСЛУГ И СОДЕРЖАНИЕ МЕСТ ЗАХОРОНЕНИЯ</w:t>
          </w:r>
          <w:r>
            <w:rPr>
              <w:sz w:val="28"/>
              <w:szCs w:val="28"/>
            </w:rPr>
            <w:tab/>
            <w:t>159</w:t>
          </w:r>
        </w:p>
        <w:p w:rsidR="00B52DE3" w:rsidRDefault="00DE73E3">
          <w:pPr>
            <w:pStyle w:val="1f2"/>
            <w:tabs>
              <w:tab w:val="right" w:leader="dot" w:pos="9355"/>
            </w:tabs>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УТВЕРЖДЕНИЕ ПРАВИЛ БЛАГОУСТРОЙСТВА ТЕРРИТОРИИ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ОСУЩЕСТВЛЕНИЕ АППГАППГНИИ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r>
            <w:rPr>
              <w:sz w:val="28"/>
              <w:szCs w:val="28"/>
            </w:rPr>
            <w:tab/>
            <w:t>161</w:t>
          </w:r>
        </w:p>
        <w:p w:rsidR="00B52DE3" w:rsidRDefault="00DE73E3">
          <w:pPr>
            <w:pStyle w:val="2c"/>
            <w:tabs>
              <w:tab w:val="right" w:leader="dot" w:pos="9355"/>
            </w:tabs>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Работы по озеленению и содержанию зеленых насаждений на территории Уссурийского городского округа:</w:t>
          </w:r>
          <w:r>
            <w:rPr>
              <w:sz w:val="28"/>
              <w:szCs w:val="28"/>
            </w:rPr>
            <w:tab/>
            <w:t>162</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Благоустройство сел</w:t>
          </w:r>
          <w:r>
            <w:rPr>
              <w:sz w:val="28"/>
              <w:szCs w:val="28"/>
            </w:rPr>
            <w:tab/>
            <w:t>165</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w:t>
          </w:r>
          <w:r>
            <w:rPr>
              <w:rFonts w:ascii="Times New Roman" w:eastAsia="Times New Roman" w:hAnsi="Times New Roman" w:cs="Times New Roman"/>
              <w:sz w:val="28"/>
              <w:szCs w:val="28"/>
              <w:lang w:eastAsia="ru-RU"/>
            </w:rPr>
            <w:lastRenderedPageBreak/>
            <w:t xml:space="preserve">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w:t>
          </w:r>
          <w:r>
            <w:rPr>
              <w:rFonts w:ascii="Times New Roman" w:eastAsia="Times New Roman" w:hAnsi="Times New Roman" w:cs="Times New Roman"/>
              <w:sz w:val="28"/>
              <w:szCs w:val="28"/>
              <w:lang w:eastAsia="ru-RU"/>
            </w:rPr>
            <w:lastRenderedPageBreak/>
            <w:t>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Pr>
              <w:sz w:val="28"/>
              <w:szCs w:val="28"/>
            </w:rPr>
            <w:tab/>
            <w:t>167</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Градостроительная деятельность</w:t>
          </w:r>
          <w:r>
            <w:rPr>
              <w:sz w:val="28"/>
              <w:szCs w:val="28"/>
            </w:rPr>
            <w:tab/>
            <w:t>168</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Управление земельными ресурсами</w:t>
          </w:r>
          <w:r>
            <w:rPr>
              <w:sz w:val="28"/>
              <w:szCs w:val="28"/>
            </w:rPr>
            <w:tab/>
            <w:t>171</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Оформление земельных участков из земель сельскохозяйственного назначения</w:t>
          </w:r>
          <w:r>
            <w:rPr>
              <w:sz w:val="28"/>
              <w:szCs w:val="28"/>
            </w:rPr>
            <w:tab/>
            <w:t>173</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Включение новых мест и включение индивидуальных предпринимателей и юридических лиц в схему размещения нестационарных торговых объектов на территории Уссурийского городского округа</w:t>
          </w:r>
          <w:r>
            <w:rPr>
              <w:sz w:val="28"/>
              <w:szCs w:val="28"/>
            </w:rPr>
            <w:tab/>
            <w:t>174</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ЗАКОНОМ «О РЕКЛАМЕ»</w:t>
          </w:r>
          <w:r>
            <w:rPr>
              <w:sz w:val="28"/>
              <w:szCs w:val="28"/>
            </w:rPr>
            <w:tab/>
            <w:t>176</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w:t>
          </w:r>
          <w:r>
            <w:rPr>
              <w:rFonts w:ascii="Times New Roman" w:eastAsia="Times New Roman" w:hAnsi="Times New Roman" w:cs="Times New Roman"/>
              <w:sz w:val="28"/>
              <w:szCs w:val="28"/>
              <w:lang w:eastAsia="ru-RU"/>
            </w:rPr>
            <w:lastRenderedPageBreak/>
            <w:t>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r>
            <w:rPr>
              <w:sz w:val="28"/>
              <w:szCs w:val="28"/>
            </w:rPr>
            <w:tab/>
            <w:t>177</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r>
            <w:rPr>
              <w:sz w:val="28"/>
              <w:szCs w:val="28"/>
            </w:rPr>
            <w:tab/>
            <w:t>179</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Создание условий для развития сельскохозяйственного производства</w:t>
          </w:r>
          <w:r>
            <w:rPr>
              <w:sz w:val="28"/>
              <w:szCs w:val="28"/>
            </w:rPr>
            <w:tab/>
            <w:t>179</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Содействие развитию малого и среднего предпринимательства </w:t>
          </w:r>
          <w:r>
            <w:rPr>
              <w:sz w:val="28"/>
              <w:szCs w:val="28"/>
            </w:rPr>
            <w:tab/>
            <w:t>190</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Инвестиционная деятельность</w:t>
          </w:r>
          <w:r>
            <w:rPr>
              <w:sz w:val="28"/>
              <w:szCs w:val="28"/>
            </w:rPr>
            <w:tab/>
            <w:t>195</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Взаимодействие органов местного самоуправления с органами территориального общественного самоуправления</w:t>
          </w:r>
          <w:r>
            <w:rPr>
              <w:sz w:val="28"/>
              <w:szCs w:val="28"/>
            </w:rPr>
            <w:tab/>
            <w:t>201</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Взаимодействие органов местного самоуправления с некоммерческими объединениями, осуществляющими деятельность на территории Уссурийского городского округа</w:t>
          </w:r>
          <w:r>
            <w:rPr>
              <w:sz w:val="28"/>
              <w:szCs w:val="28"/>
            </w:rPr>
            <w:tab/>
            <w:t>206</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Оказание поддержки общественным объединениям инвалидов</w:t>
          </w:r>
          <w:r>
            <w:rPr>
              <w:sz w:val="28"/>
              <w:szCs w:val="28"/>
            </w:rPr>
            <w:tab/>
            <w:t>209</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Участие в патриотическом воспитании граждан</w:t>
          </w:r>
          <w:r>
            <w:rPr>
              <w:sz w:val="28"/>
              <w:szCs w:val="28"/>
            </w:rPr>
            <w:tab/>
            <w:t>209</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Взаимодействие с войсковыми частями Уссурийского гарнизона</w:t>
          </w:r>
          <w:r>
            <w:rPr>
              <w:sz w:val="28"/>
              <w:szCs w:val="28"/>
            </w:rPr>
            <w:tab/>
            <w:t>210</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lang w:eastAsia="ru-RU"/>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ГОРОДСКОМ ОКРУГЕ</w:t>
          </w:r>
          <w:r>
            <w:rPr>
              <w:sz w:val="28"/>
              <w:szCs w:val="28"/>
            </w:rPr>
            <w:tab/>
            <w:t>211</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Развитие молодежной политики на территории Уссурийского городского округа Приморского края</w:t>
          </w:r>
          <w:r>
            <w:rPr>
              <w:sz w:val="28"/>
              <w:szCs w:val="28"/>
            </w:rPr>
            <w:tab/>
            <w:t>211</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ОСУЩЕСТВЛЕНИЕ МУНИЦИПАЛЬНОГО ЛЕСНОГО КОНТРОЛЯ</w:t>
          </w:r>
          <w:r>
            <w:rPr>
              <w:sz w:val="28"/>
              <w:szCs w:val="28"/>
            </w:rPr>
            <w:tab/>
            <w:t>214</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lastRenderedPageBreak/>
            <w:t>ИСПОЛНЕНИЕ ПОЛНОМОЧИЙ ОРГАНОВ МЕСТНОГО САМОУПРАВЛЕНИЯ В ОБЛАСТИ РЕАЛИЗАЦИИ МУНИЦИПАЛЬНЫХ ПРОГРАММ НА ТЕРРИТОРИИ УССУРИЙСКОГО ГОРОДСКОГО ОКРУГА</w:t>
          </w:r>
          <w:r>
            <w:rPr>
              <w:sz w:val="28"/>
              <w:szCs w:val="28"/>
            </w:rPr>
            <w:tab/>
            <w:t>214</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ИСПОЛНЕНИЕ ПОЛНОМОЧИЙ АДМИНИСТРАЦИИ ПО ОБЕСПЕЧЕНИЮ ИСПОЛНИТЕЛЬНО-РАСПОРЯДИТЕЛЬНЫХ ФУНКЦИЙ ПО ЭФФЕКТИВНОМУ РЕШЕНИЮ ВОПРОСОВ МЕСТНОГО ЗНАЧЕНИЯ В ИНТЕРЕСАХ НАСЕЛЕНИЯ УССУРИЙСКОГО ГОРОДСКОГО ОКРУГА.</w:t>
          </w:r>
          <w:r>
            <w:rPr>
              <w:sz w:val="28"/>
              <w:szCs w:val="28"/>
            </w:rPr>
            <w:tab/>
            <w:t>215</w:t>
          </w:r>
        </w:p>
        <w:p w:rsidR="00B52DE3" w:rsidRDefault="00DE73E3">
          <w:pPr>
            <w:pStyle w:val="2c"/>
            <w:tabs>
              <w:tab w:val="right" w:leader="dot" w:pos="9355"/>
            </w:tabs>
            <w:ind w:left="0"/>
            <w:rPr>
              <w:rFonts w:ascii="Times New Roman" w:hAnsi="Times New Roman" w:cs="Times New Roman"/>
              <w:sz w:val="28"/>
              <w:szCs w:val="28"/>
            </w:rPr>
          </w:pPr>
          <w:r>
            <w:rPr>
              <w:rFonts w:ascii="Times New Roman" w:eastAsia="Times New Roman" w:hAnsi="Times New Roman" w:cs="Times New Roman"/>
              <w:sz w:val="28"/>
              <w:szCs w:val="28"/>
            </w:rPr>
            <w:t>Мероприятия по совершенствованию кадровой работы</w:t>
          </w:r>
          <w:r>
            <w:rPr>
              <w:sz w:val="28"/>
              <w:szCs w:val="28"/>
            </w:rPr>
            <w:tab/>
            <w:t>215</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ОСУЩЕСТВЛЕНИЕ МЕР ПО ПРОТИВОДЕЙСТВИЮ КОРРУПЦИИ В ГРАНИЦАХ ГОРОДСКОГО ОКРУГА</w:t>
          </w:r>
          <w:r>
            <w:rPr>
              <w:sz w:val="28"/>
              <w:szCs w:val="28"/>
            </w:rPr>
            <w:tab/>
            <w:t>2</w:t>
          </w:r>
          <w:r>
            <w:rPr>
              <w:rFonts w:ascii="Times New Roman" w:hAnsi="Times New Roman" w:cs="Times New Roman"/>
              <w:sz w:val="28"/>
              <w:szCs w:val="28"/>
            </w:rPr>
            <w:t>18</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РАЗВИТИЕ ИНФОРМАЦИОННО-КОММУНИКАТИВНЫХ ТЕХНОЛОГИЙ АДМИНИСТРАЦИИ УССУРИЙСКОГО ГОРОДСКОГО ОКРУГА ПРИМОРСКОГО КРАЯ</w:t>
          </w:r>
          <w:r>
            <w:rPr>
              <w:sz w:val="28"/>
              <w:szCs w:val="28"/>
            </w:rPr>
            <w:tab/>
            <w:t>224</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 СОСТОЯНИИ ЗАЩИТЫ НАСЕЛЕНИЯ ОТ ЧРЕЗВЫЧАЙНЫХ СИТУАЦИЙ ПРИРОДНОГО И ТЕХНОГЕННОГО ХАРАКТЕРА</w:t>
          </w:r>
          <w:r>
            <w:rPr>
              <w:sz w:val="28"/>
              <w:szCs w:val="28"/>
            </w:rPr>
            <w:tab/>
            <w:t>227</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Основные показатели состояния защиты населения</w:t>
          </w:r>
          <w:r>
            <w:rPr>
              <w:sz w:val="28"/>
              <w:szCs w:val="28"/>
            </w:rPr>
            <w:tab/>
            <w:t>227</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pacing w:val="-3"/>
              <w:sz w:val="28"/>
              <w:szCs w:val="28"/>
            </w:rPr>
            <w:t>Учения и тренировки, проводимые в 2025 году</w:t>
          </w:r>
          <w:r>
            <w:rPr>
              <w:sz w:val="28"/>
              <w:szCs w:val="28"/>
            </w:rPr>
            <w:tab/>
          </w:r>
          <w:r>
            <w:rPr>
              <w:b/>
              <w:bCs/>
              <w:sz w:val="28"/>
              <w:szCs w:val="28"/>
            </w:rPr>
            <w:t>236</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pacing w:val="-3"/>
              <w:sz w:val="28"/>
              <w:szCs w:val="28"/>
            </w:rPr>
            <w:t>Участие Уссурийского городского звена РСЧС в ликвидации чрезвычайных ситуаций</w:t>
          </w:r>
          <w:r>
            <w:rPr>
              <w:sz w:val="28"/>
              <w:szCs w:val="28"/>
            </w:rPr>
            <w:tab/>
          </w:r>
          <w:r>
            <w:rPr>
              <w:b/>
              <w:bCs/>
              <w:sz w:val="28"/>
              <w:szCs w:val="28"/>
            </w:rPr>
            <w:t>239</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pacing w:val="-3"/>
              <w:sz w:val="28"/>
              <w:szCs w:val="28"/>
            </w:rPr>
            <w:t>Деятельность по повышению готовности органов управления и сил РСЧС к ликвидации ЧС</w:t>
          </w:r>
          <w:r>
            <w:rPr>
              <w:sz w:val="28"/>
              <w:szCs w:val="28"/>
            </w:rPr>
            <w:tab/>
          </w:r>
          <w:r>
            <w:rPr>
              <w:b/>
              <w:bCs/>
              <w:sz w:val="28"/>
              <w:szCs w:val="28"/>
            </w:rPr>
            <w:t>241</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pacing w:val="-3"/>
              <w:sz w:val="28"/>
              <w:szCs w:val="28"/>
            </w:rPr>
            <w:t>Оповещение органов управления РСЧС и населения в чрезвычайных ситуациях, развитие систем связи</w:t>
          </w:r>
          <w:r>
            <w:rPr>
              <w:sz w:val="28"/>
              <w:szCs w:val="28"/>
            </w:rPr>
            <w:tab/>
          </w:r>
          <w:r>
            <w:rPr>
              <w:b/>
              <w:bCs/>
              <w:sz w:val="28"/>
              <w:szCs w:val="28"/>
            </w:rPr>
            <w:t>242</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pacing w:val="-3"/>
              <w:sz w:val="28"/>
              <w:szCs w:val="28"/>
            </w:rPr>
            <w:t>Мероприятия по защите населения и территорий</w:t>
          </w:r>
          <w:r>
            <w:rPr>
              <w:sz w:val="28"/>
              <w:szCs w:val="28"/>
            </w:rPr>
            <w:tab/>
          </w:r>
          <w:r>
            <w:rPr>
              <w:b/>
              <w:bCs/>
              <w:sz w:val="28"/>
              <w:szCs w:val="28"/>
            </w:rPr>
            <w:t>245</w:t>
          </w:r>
        </w:p>
        <w:p w:rsidR="00B52DE3" w:rsidRDefault="00DE73E3">
          <w:pPr>
            <w:pStyle w:val="1f2"/>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ОБ ИСПОЛНЕНИИ ОТДЕЛЬНЫХ ГОСУДАРСТВЕННЫХ ПОЛНОМОЧИЙ ПО ГОСУДАРСТВЕННОМУ УПРАВЛЕНИЮ НА ТЕРРИТОРИИ УССУРИЙСКОГО ГОРОДСКОГО ОКРУГА</w:t>
          </w:r>
          <w:r>
            <w:rPr>
              <w:sz w:val="28"/>
              <w:szCs w:val="28"/>
            </w:rPr>
            <w:tab/>
            <w:t>252</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Работа с детьми и подростками из группы риска</w:t>
          </w:r>
          <w:r>
            <w:rPr>
              <w:sz w:val="28"/>
              <w:szCs w:val="28"/>
            </w:rPr>
            <w:tab/>
            <w:t>252</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Работа управления по опеке и попечительству</w:t>
          </w:r>
          <w:r>
            <w:rPr>
              <w:sz w:val="28"/>
              <w:szCs w:val="28"/>
            </w:rPr>
            <w:tab/>
            <w:t>262</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Работа управления ЗАГС на территории Уссурийского городского округа</w:t>
          </w:r>
          <w:r>
            <w:rPr>
              <w:sz w:val="28"/>
              <w:szCs w:val="28"/>
            </w:rPr>
            <w:tab/>
            <w:t>267</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Работа административной комиссии</w:t>
          </w:r>
          <w:r>
            <w:rPr>
              <w:sz w:val="28"/>
              <w:szCs w:val="28"/>
            </w:rPr>
            <w:tab/>
            <w:t>273</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Содействие занятости населения</w:t>
          </w:r>
          <w:r>
            <w:rPr>
              <w:sz w:val="28"/>
              <w:szCs w:val="28"/>
            </w:rPr>
            <w:tab/>
            <w:t>276</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Охрана труда на территории Уссурийского городского округа</w:t>
          </w:r>
          <w:r>
            <w:rPr>
              <w:sz w:val="28"/>
              <w:szCs w:val="28"/>
            </w:rPr>
            <w:tab/>
            <w:t>277</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lastRenderedPageBreak/>
            <w:t>Выполнение задач по внесению информации в государственную информационную систему «Единая централизованная цифровая платформа в социальной сфере» 2025 год:</w:t>
          </w:r>
          <w:r>
            <w:rPr>
              <w:sz w:val="28"/>
              <w:szCs w:val="28"/>
            </w:rPr>
            <w:tab/>
            <w:t>279</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 xml:space="preserve">Мероприятия администрации Уссурийского городского округа в сфере охраны здоровья населения на территории Уссурийского городского округа Приморского края </w:t>
          </w:r>
          <w:r>
            <w:rPr>
              <w:sz w:val="28"/>
              <w:szCs w:val="28"/>
            </w:rPr>
            <w:tab/>
            <w:t>285</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Оказание помощи членам семей участников СВО на территории Уссурийского городского округа</w:t>
          </w:r>
          <w:r>
            <w:rPr>
              <w:sz w:val="28"/>
              <w:szCs w:val="28"/>
            </w:rPr>
            <w:tab/>
            <w:t>289</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Доступная среда</w:t>
          </w:r>
          <w:r>
            <w:rPr>
              <w:sz w:val="28"/>
              <w:szCs w:val="28"/>
            </w:rPr>
            <w:tab/>
            <w:t>290</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Решение социальных вопросов в селах</w:t>
          </w:r>
          <w:r>
            <w:rPr>
              <w:sz w:val="28"/>
              <w:szCs w:val="28"/>
            </w:rPr>
            <w:tab/>
            <w:t>291</w:t>
          </w:r>
        </w:p>
        <w:p w:rsidR="00B52DE3" w:rsidRDefault="00DE73E3">
          <w:pPr>
            <w:pStyle w:val="2c"/>
            <w:tabs>
              <w:tab w:val="right" w:leader="dot" w:pos="9355"/>
            </w:tabs>
            <w:rPr>
              <w:rFonts w:ascii="Times New Roman" w:hAnsi="Times New Roman" w:cs="Times New Roman"/>
              <w:sz w:val="28"/>
              <w:szCs w:val="28"/>
            </w:rPr>
          </w:pPr>
          <w:r>
            <w:rPr>
              <w:rFonts w:ascii="Times New Roman" w:eastAsia="Times New Roman" w:hAnsi="Times New Roman" w:cs="Times New Roman"/>
              <w:sz w:val="28"/>
              <w:szCs w:val="28"/>
            </w:rPr>
            <w:t>Осуществление деятельности по обращению с животными без владельцев, обитающими на территории городского округа</w:t>
          </w:r>
          <w:r w:rsidR="00D874CB">
            <w:rPr>
              <w:sz w:val="28"/>
              <w:szCs w:val="28"/>
            </w:rPr>
            <w:tab/>
            <w:t>29</w:t>
          </w:r>
          <w:r w:rsidR="0094277C">
            <w:rPr>
              <w:sz w:val="28"/>
              <w:szCs w:val="28"/>
            </w:rPr>
            <w:fldChar w:fldCharType="end"/>
          </w:r>
          <w:r w:rsidR="00D874CB">
            <w:rPr>
              <w:sz w:val="28"/>
              <w:szCs w:val="28"/>
            </w:rPr>
            <w:t>5</w:t>
          </w:r>
        </w:p>
      </w:sdtContent>
    </w:sdt>
    <w:p w:rsidR="00B52DE3" w:rsidRDefault="00B52DE3">
      <w:pPr>
        <w:rPr>
          <w:rFonts w:ascii="Times New Roman" w:hAnsi="Times New Roman" w:cs="Times New Roman"/>
          <w:sz w:val="28"/>
          <w:szCs w:val="28"/>
        </w:rPr>
      </w:pPr>
    </w:p>
    <w:p w:rsidR="00B52DE3" w:rsidRDefault="00B52DE3">
      <w:pPr>
        <w:rPr>
          <w:rFonts w:ascii="Times New Roman" w:hAnsi="Times New Roman" w:cs="Times New Roman"/>
        </w:rPr>
      </w:pPr>
    </w:p>
    <w:p w:rsidR="00B52DE3" w:rsidRDefault="00B52DE3">
      <w:pPr>
        <w:pStyle w:val="1f7"/>
        <w:widowControl w:val="0"/>
        <w:spacing w:after="0" w:line="360" w:lineRule="auto"/>
        <w:jc w:val="center"/>
        <w:rPr>
          <w:rFonts w:ascii="Times New Roman" w:hAnsi="Times New Roman" w:cs="Times New Roman"/>
          <w:sz w:val="28"/>
          <w:szCs w:val="28"/>
        </w:rPr>
      </w:pPr>
    </w:p>
    <w:p w:rsidR="00B52DE3" w:rsidRDefault="00B52DE3">
      <w:pPr>
        <w:pStyle w:val="1f7"/>
        <w:widowControl w:val="0"/>
        <w:spacing w:after="0" w:line="360" w:lineRule="auto"/>
        <w:jc w:val="center"/>
        <w:rPr>
          <w:rFonts w:ascii="Times New Roman" w:hAnsi="Times New Roman" w:cs="Times New Roman"/>
          <w:sz w:val="28"/>
          <w:szCs w:val="28"/>
        </w:rPr>
      </w:pPr>
    </w:p>
    <w:p w:rsidR="00B52DE3" w:rsidRDefault="00B52DE3">
      <w:pPr>
        <w:pStyle w:val="1f7"/>
        <w:widowControl w:val="0"/>
        <w:spacing w:after="0" w:line="360" w:lineRule="auto"/>
        <w:jc w:val="center"/>
        <w:rPr>
          <w:rFonts w:ascii="Times New Roman" w:hAnsi="Times New Roman" w:cs="Times New Roman"/>
          <w:sz w:val="28"/>
          <w:szCs w:val="28"/>
        </w:rPr>
      </w:pPr>
    </w:p>
    <w:p w:rsidR="00B52DE3" w:rsidRDefault="00B52DE3">
      <w:pPr>
        <w:pStyle w:val="1f7"/>
        <w:widowControl w:val="0"/>
        <w:spacing w:after="0" w:line="360" w:lineRule="auto"/>
        <w:jc w:val="center"/>
        <w:rPr>
          <w:rFonts w:ascii="Times New Roman" w:hAnsi="Times New Roman" w:cs="Times New Roman"/>
          <w:sz w:val="28"/>
          <w:szCs w:val="28"/>
        </w:rPr>
      </w:pPr>
    </w:p>
    <w:p w:rsidR="00B52DE3" w:rsidRDefault="00B52DE3">
      <w:pPr>
        <w:pStyle w:val="1f7"/>
        <w:widowControl w:val="0"/>
        <w:spacing w:after="0" w:line="360" w:lineRule="auto"/>
        <w:jc w:val="center"/>
        <w:rPr>
          <w:rFonts w:ascii="Times New Roman" w:hAnsi="Times New Roman" w:cs="Times New Roman"/>
          <w:sz w:val="28"/>
          <w:szCs w:val="28"/>
        </w:rPr>
      </w:pPr>
    </w:p>
    <w:p w:rsidR="00B52DE3" w:rsidRDefault="00B52DE3">
      <w:pPr>
        <w:pStyle w:val="1f7"/>
        <w:widowControl w:val="0"/>
        <w:spacing w:after="0" w:line="360" w:lineRule="auto"/>
        <w:jc w:val="center"/>
        <w:rPr>
          <w:rFonts w:ascii="Times New Roman" w:hAnsi="Times New Roman" w:cs="Times New Roman"/>
          <w:sz w:val="28"/>
          <w:szCs w:val="28"/>
        </w:rPr>
      </w:pPr>
    </w:p>
    <w:p w:rsidR="00B52DE3" w:rsidRDefault="00DE73E3">
      <w:pPr>
        <w:widowControl w:val="0"/>
        <w:spacing w:after="0" w:line="240" w:lineRule="auto"/>
        <w:rPr>
          <w:rFonts w:ascii="Times New Roman" w:hAnsi="Times New Roman" w:cs="Times New Roman"/>
          <w:b/>
          <w:bCs/>
          <w:color w:val="000000"/>
          <w:sz w:val="28"/>
          <w:szCs w:val="28"/>
        </w:rPr>
      </w:pPr>
      <w:r>
        <w:br w:type="page" w:clear="all"/>
      </w:r>
    </w:p>
    <w:p w:rsidR="00B52DE3" w:rsidRDefault="00DE73E3">
      <w:pPr>
        <w:pStyle w:val="1fe"/>
        <w:keepNext w:val="0"/>
        <w:keepLines w:val="0"/>
        <w:spacing w:before="0"/>
        <w:ind w:firstLine="0"/>
      </w:pPr>
      <w:bookmarkStart w:id="0" w:name="_Toc1"/>
      <w:r>
        <w:rPr>
          <w:rFonts w:eastAsia="Times New Roman"/>
        </w:rPr>
        <w:lastRenderedPageBreak/>
        <w:t>ВВЕДЕНИЕ</w:t>
      </w:r>
      <w:bookmarkEnd w:id="0"/>
    </w:p>
    <w:p w:rsidR="00B52DE3" w:rsidRDefault="00DE73E3">
      <w:pPr>
        <w:pStyle w:val="Textbody"/>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2025 году главным вектором деятельности главы Уссурийского городского округа Приморского края и администрации Уссурийского городского округа Приморского края являлось исполнение национальных проектов, региональных и муниципальных программ, документов стратегического планирования. Основные усилия были сосредоточены на развитии социальной инфраструктуры, жилищного строительства и благоустройства территорий.</w:t>
      </w:r>
    </w:p>
    <w:p w:rsidR="00B52DE3" w:rsidRDefault="00DE73E3">
      <w:pPr>
        <w:pStyle w:val="Textbody"/>
        <w:widowControl w:val="0"/>
        <w:spacing w:after="0" w:line="360" w:lineRule="auto"/>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ab/>
        <w:t>В 2025 году продолжилась активная работа по исполнению национальных проектов. В рамках национального проекта «Туризм и гостеприимство» проведены мероприятия по обустройству туристического центра города. В рамках национального проекта «Инфраструктура для жизни» приобретено 19 жилых помещений для переселения граждан из аварийного жилищного фонда, благоустроены два сквера по улицам Краснознаменная, 135б и Промышленная, 5в. В рамках национального проекта «Молодежь и дети» оказаны меры социальной поддержки                              218 молодым специалистам и 96 наставникам, обеспечена деятельность                       33 советников директоров по воспитанию, ежемесячное денежное вознаграждение за классное руководство получили 864 педагога. Проведен капитальный ремонт здания учебного корпуса МБОУ СОШ № 22. В рамках национального проекта «Семья» начаты работы по строительству двух детских садов по улицам Выгонная, 20 и Московская, а также капитальному ремонту дома культуры «Нива» в поселке Тимирязевский.</w:t>
      </w:r>
    </w:p>
    <w:p w:rsidR="00B52DE3" w:rsidRDefault="00DE73E3">
      <w:pPr>
        <w:pStyle w:val="aff8"/>
        <w:spacing w:after="0" w:line="360" w:lineRule="auto"/>
        <w:jc w:val="both"/>
        <w:rPr>
          <w:color w:val="0F1115"/>
          <w:sz w:val="28"/>
          <w:szCs w:val="28"/>
        </w:rPr>
      </w:pPr>
      <w:r>
        <w:rPr>
          <w:color w:val="0F1115"/>
          <w:sz w:val="28"/>
          <w:szCs w:val="28"/>
        </w:rPr>
        <w:tab/>
        <w:t xml:space="preserve">В сфере жилищно-коммунального хозяйства проведена модернизация котельных, тепловых сетей. Выполнены работы по реконструкции котельной № 45 в селе Воздвиженка, строительству тепловой сети для закрытия котельных № 46 и № 20. Осуществлен перевод 593 частных домовладений с угольного и дровяного отопления на газовое. Завершено строительство напорного канализационного коллектора от улицы Андрея Кушнира до </w:t>
      </w:r>
      <w:r>
        <w:rPr>
          <w:color w:val="0F1115"/>
          <w:sz w:val="28"/>
          <w:szCs w:val="28"/>
        </w:rPr>
        <w:lastRenderedPageBreak/>
        <w:t>Владивостокского шоссе. Для семей участников специальной военной операции организовано обеспечение твердым топливом: углем обеспечены 416 семей, дровами — 108 семей.</w:t>
      </w:r>
    </w:p>
    <w:p w:rsidR="00B52DE3" w:rsidRDefault="00DE73E3">
      <w:pPr>
        <w:pStyle w:val="aff8"/>
        <w:spacing w:after="0" w:line="360" w:lineRule="auto"/>
        <w:ind w:firstLine="709"/>
        <w:jc w:val="both"/>
        <w:rPr>
          <w:color w:val="0F1115"/>
          <w:sz w:val="28"/>
          <w:szCs w:val="28"/>
        </w:rPr>
      </w:pPr>
      <w:r>
        <w:rPr>
          <w:sz w:val="28"/>
          <w:szCs w:val="28"/>
        </w:rPr>
        <w:t xml:space="preserve">В рамках дорожной деятельности отремонтировано 13 участков автомобильных дорог, в том числе: улица </w:t>
      </w:r>
      <w:proofErr w:type="spellStart"/>
      <w:r>
        <w:rPr>
          <w:sz w:val="28"/>
          <w:szCs w:val="28"/>
        </w:rPr>
        <w:t>Штабская</w:t>
      </w:r>
      <w:proofErr w:type="spellEnd"/>
      <w:r>
        <w:rPr>
          <w:sz w:val="28"/>
          <w:szCs w:val="28"/>
        </w:rPr>
        <w:t xml:space="preserve"> в районе дома № 12; улица Севастопольская в районе дома № 4; улица Гончарука на участке от улицы Слободской до улицы Топоркова; переулок Рюмина; улица Хабаровская на участке от дома № 38Б до дома № 68; улица Афанасьева на участке от дома № 8 (Суворовское училище) до улицы Солдатской; улица Коммунальная на участке от дома № 5Б по улице Коммунальной до дома                 № 46 по улице Механизаторов; улица Топоркова на участке от СНТ «Монтажник-1,7» до конечной остановки «</w:t>
      </w:r>
      <w:proofErr w:type="spellStart"/>
      <w:r>
        <w:rPr>
          <w:sz w:val="28"/>
          <w:szCs w:val="28"/>
        </w:rPr>
        <w:t>Пивзаводские</w:t>
      </w:r>
      <w:proofErr w:type="spellEnd"/>
      <w:r>
        <w:rPr>
          <w:sz w:val="28"/>
          <w:szCs w:val="28"/>
        </w:rPr>
        <w:t xml:space="preserve"> сады»; Владивостокское шоссе в районе путепровода через железную дорогу; в селе </w:t>
      </w:r>
      <w:proofErr w:type="spellStart"/>
      <w:r>
        <w:rPr>
          <w:sz w:val="28"/>
          <w:szCs w:val="28"/>
        </w:rPr>
        <w:t>Корсаковка</w:t>
      </w:r>
      <w:proofErr w:type="spellEnd"/>
      <w:r>
        <w:rPr>
          <w:sz w:val="28"/>
          <w:szCs w:val="28"/>
        </w:rPr>
        <w:t xml:space="preserve"> — улица Кирова на участке от дома № 2 до дома № 26; в селе </w:t>
      </w:r>
      <w:proofErr w:type="spellStart"/>
      <w:r>
        <w:rPr>
          <w:sz w:val="28"/>
          <w:szCs w:val="28"/>
        </w:rPr>
        <w:t>Пуциловка</w:t>
      </w:r>
      <w:proofErr w:type="spellEnd"/>
      <w:r>
        <w:rPr>
          <w:sz w:val="28"/>
          <w:szCs w:val="28"/>
        </w:rPr>
        <w:t xml:space="preserve"> — переулок Луговой на участке от пересечения с краевой дорогой «</w:t>
      </w:r>
      <w:proofErr w:type="spellStart"/>
      <w:r>
        <w:rPr>
          <w:sz w:val="28"/>
          <w:szCs w:val="28"/>
        </w:rPr>
        <w:t>Улитовка</w:t>
      </w:r>
      <w:proofErr w:type="spellEnd"/>
      <w:r>
        <w:rPr>
          <w:sz w:val="28"/>
          <w:szCs w:val="28"/>
        </w:rPr>
        <w:t xml:space="preserve"> — </w:t>
      </w:r>
      <w:proofErr w:type="spellStart"/>
      <w:r>
        <w:rPr>
          <w:sz w:val="28"/>
          <w:szCs w:val="28"/>
        </w:rPr>
        <w:t>Пуциловка</w:t>
      </w:r>
      <w:proofErr w:type="spellEnd"/>
      <w:r>
        <w:rPr>
          <w:sz w:val="28"/>
          <w:szCs w:val="28"/>
        </w:rPr>
        <w:t xml:space="preserve"> — Богатырка — </w:t>
      </w:r>
      <w:proofErr w:type="spellStart"/>
      <w:r>
        <w:rPr>
          <w:sz w:val="28"/>
          <w:szCs w:val="28"/>
        </w:rPr>
        <w:t>Монакино</w:t>
      </w:r>
      <w:proofErr w:type="spellEnd"/>
      <w:r>
        <w:rPr>
          <w:sz w:val="28"/>
          <w:szCs w:val="28"/>
        </w:rPr>
        <w:t>» до границы кладбища; в поселке Партизан — улица Уссурийская (проезд к дому № 80).</w:t>
      </w:r>
    </w:p>
    <w:p w:rsidR="00B52DE3" w:rsidRDefault="00DE73E3">
      <w:pPr>
        <w:pStyle w:val="aff8"/>
        <w:spacing w:after="0" w:line="360" w:lineRule="auto"/>
        <w:jc w:val="both"/>
        <w:rPr>
          <w:color w:val="0F1115"/>
          <w:sz w:val="28"/>
          <w:szCs w:val="28"/>
        </w:rPr>
      </w:pPr>
      <w:r>
        <w:rPr>
          <w:color w:val="0F1115"/>
          <w:sz w:val="28"/>
          <w:szCs w:val="28"/>
        </w:rPr>
        <w:tab/>
        <w:t>Особое внимание уделялось поддержке семей погибших участников специальной военной операции. В 2025 году на оказание единовременной материальной помощи поступило 425 заявлений. Проведены встречи с родственниками военнослужащих, организовано содействие в трудоустройстве участников СВО через кадровый центр. В рамках шефской помощи МУП «Уссурийск-Водоканал», АО «Уссурийское предприятие тепловых сетей» и АО «Уссурийск-Электросеть» выполнили множество добрых дел. В 2026 году к инициативе присоединились коммерческие предприятия и неравнодушные жители, оказывающие помощь в ремонте сантехники, окон, дверей, бытовой техники.</w:t>
      </w:r>
    </w:p>
    <w:p w:rsidR="00B52DE3" w:rsidRDefault="00DE73E3">
      <w:pPr>
        <w:pStyle w:val="aff8"/>
        <w:spacing w:after="0" w:line="360" w:lineRule="auto"/>
        <w:jc w:val="both"/>
        <w:rPr>
          <w:color w:val="0F1115"/>
          <w:sz w:val="28"/>
          <w:szCs w:val="28"/>
        </w:rPr>
      </w:pPr>
      <w:r>
        <w:rPr>
          <w:color w:val="0F1115"/>
          <w:sz w:val="28"/>
          <w:szCs w:val="28"/>
        </w:rPr>
        <w:tab/>
        <w:t xml:space="preserve">В сфере культуры и искусства в 2025 году проведен капитальный ремонт библиотек № 3 и № 5, за счет субсидии на модернизацию </w:t>
      </w:r>
      <w:r>
        <w:rPr>
          <w:color w:val="0F1115"/>
          <w:sz w:val="28"/>
          <w:szCs w:val="28"/>
        </w:rPr>
        <w:lastRenderedPageBreak/>
        <w:t>муниципальных библиотек было закуплено RFID-оборудование, SMART-телевизоры, интерактивное оборудование для детских библиотек. В МАУК «МЦКД «Горизонт» проведено 1184 мероприятия с охватом 678 469 человек. Творческие коллективы учреждений культуры завоевали 419 призовых мест на конкурсах различных уровней. Театр драмы им. В.Ф. Комиссаржевской сыграл 242 спектакля, которые посетили 38 008 зрителей. Уссурийский музей организовал 13 тематических выставок, провел 386 музейных занятий с охватом 10 579 человек. Всего работой музея в 2025 году было охвачено                     47 659 человек.</w:t>
      </w:r>
    </w:p>
    <w:p w:rsidR="00B52DE3" w:rsidRDefault="00DE73E3">
      <w:pPr>
        <w:pStyle w:val="aff8"/>
        <w:spacing w:after="0" w:line="360" w:lineRule="auto"/>
        <w:ind w:firstLine="709"/>
        <w:jc w:val="both"/>
        <w:rPr>
          <w:color w:val="0F1115"/>
          <w:sz w:val="28"/>
          <w:szCs w:val="28"/>
        </w:rPr>
      </w:pPr>
      <w:r>
        <w:rPr>
          <w:color w:val="0F1115"/>
          <w:sz w:val="28"/>
          <w:szCs w:val="28"/>
        </w:rPr>
        <w:t xml:space="preserve">В сфере образования начато строительство школы по улице Выгонная, 16, реконструкция здания школы в селе Воздвиженка. Проведены капитальные ремонты в 15 общеобразовательных организациях. По итогам 2025 года лауреатами премии главы стали 322 одаренных ребенка                             и 11 педагогических работников, общая сумма выплат составила более                    1,4 </w:t>
      </w:r>
      <w:proofErr w:type="spellStart"/>
      <w:r>
        <w:rPr>
          <w:color w:val="0F1115"/>
          <w:sz w:val="28"/>
          <w:szCs w:val="28"/>
        </w:rPr>
        <w:t>млн</w:t>
      </w:r>
      <w:proofErr w:type="spellEnd"/>
      <w:r>
        <w:rPr>
          <w:color w:val="0F1115"/>
          <w:sz w:val="28"/>
          <w:szCs w:val="28"/>
        </w:rPr>
        <w:t xml:space="preserve"> рублей. Четыре участника ЕГЭ набрали 100 баллов.</w:t>
      </w:r>
    </w:p>
    <w:p w:rsidR="00B52DE3" w:rsidRDefault="00DE73E3">
      <w:pPr>
        <w:pStyle w:val="aff8"/>
        <w:spacing w:after="0" w:line="360" w:lineRule="auto"/>
        <w:ind w:firstLine="709"/>
        <w:jc w:val="both"/>
        <w:rPr>
          <w:color w:val="0F1115"/>
          <w:sz w:val="28"/>
          <w:szCs w:val="28"/>
        </w:rPr>
      </w:pPr>
      <w:r>
        <w:rPr>
          <w:color w:val="0F1115"/>
          <w:sz w:val="28"/>
          <w:szCs w:val="28"/>
        </w:rPr>
        <w:t>В летний период в оздоровительных лагерях с дневным пребыванием отдохнули 7 472 ребенка, в загородном лагере «Надежда» — 1 400 детей.</w:t>
      </w:r>
    </w:p>
    <w:p w:rsidR="00B52DE3" w:rsidRDefault="00DE73E3">
      <w:pPr>
        <w:pStyle w:val="aff8"/>
        <w:spacing w:after="0" w:line="360" w:lineRule="auto"/>
        <w:jc w:val="both"/>
        <w:rPr>
          <w:color w:val="0F1115"/>
          <w:sz w:val="28"/>
          <w:szCs w:val="28"/>
        </w:rPr>
      </w:pPr>
      <w:r>
        <w:rPr>
          <w:color w:val="0F1115"/>
          <w:sz w:val="28"/>
          <w:szCs w:val="28"/>
        </w:rPr>
        <w:tab/>
        <w:t xml:space="preserve">По итогам 2025 года бюджет Уссурийского городского округа исполнен по доходам в объеме 10 932,01 </w:t>
      </w:r>
      <w:proofErr w:type="spellStart"/>
      <w:r>
        <w:rPr>
          <w:color w:val="0F1115"/>
          <w:sz w:val="28"/>
          <w:szCs w:val="28"/>
        </w:rPr>
        <w:t>млн</w:t>
      </w:r>
      <w:proofErr w:type="spellEnd"/>
      <w:r>
        <w:rPr>
          <w:color w:val="0F1115"/>
          <w:sz w:val="28"/>
          <w:szCs w:val="28"/>
        </w:rPr>
        <w:t xml:space="preserve"> рублей, по расходам —                            10 990,25 </w:t>
      </w:r>
      <w:proofErr w:type="spellStart"/>
      <w:r>
        <w:rPr>
          <w:color w:val="0F1115"/>
          <w:sz w:val="28"/>
          <w:szCs w:val="28"/>
        </w:rPr>
        <w:t>млн</w:t>
      </w:r>
      <w:proofErr w:type="spellEnd"/>
      <w:r>
        <w:rPr>
          <w:color w:val="0F1115"/>
          <w:sz w:val="28"/>
          <w:szCs w:val="28"/>
        </w:rPr>
        <w:t xml:space="preserve"> рублей. Налоговые и неналоговые доходы составили                              4 872,65 </w:t>
      </w:r>
      <w:proofErr w:type="spellStart"/>
      <w:r>
        <w:rPr>
          <w:color w:val="0F1115"/>
          <w:sz w:val="28"/>
          <w:szCs w:val="28"/>
        </w:rPr>
        <w:t>млн</w:t>
      </w:r>
      <w:proofErr w:type="spellEnd"/>
      <w:r>
        <w:rPr>
          <w:color w:val="0F1115"/>
          <w:sz w:val="28"/>
          <w:szCs w:val="28"/>
        </w:rPr>
        <w:t xml:space="preserve"> рублей, что на 28% выше уровня 2024 года. Расходы на образование увеличились на 32,3% и составили 6 027,25 </w:t>
      </w:r>
      <w:proofErr w:type="spellStart"/>
      <w:r>
        <w:rPr>
          <w:color w:val="0F1115"/>
          <w:sz w:val="28"/>
          <w:szCs w:val="28"/>
        </w:rPr>
        <w:t>млн</w:t>
      </w:r>
      <w:proofErr w:type="spellEnd"/>
      <w:r>
        <w:rPr>
          <w:color w:val="0F1115"/>
          <w:sz w:val="28"/>
          <w:szCs w:val="28"/>
        </w:rPr>
        <w:t xml:space="preserve"> рублей. Доля программных расходов в общем объеме расходов достигла 84,6%. Экономия от конкурсных процедур составила 1 106,2 </w:t>
      </w:r>
      <w:proofErr w:type="spellStart"/>
      <w:r>
        <w:rPr>
          <w:color w:val="0F1115"/>
          <w:sz w:val="28"/>
          <w:szCs w:val="28"/>
        </w:rPr>
        <w:t>млн</w:t>
      </w:r>
      <w:proofErr w:type="spellEnd"/>
      <w:r>
        <w:rPr>
          <w:color w:val="0F1115"/>
          <w:sz w:val="28"/>
          <w:szCs w:val="28"/>
        </w:rPr>
        <w:t xml:space="preserve"> рублей, что позволило направить средства на увеличение объема выполняемых мероприятий.</w:t>
      </w:r>
    </w:p>
    <w:p w:rsidR="00B52DE3" w:rsidRDefault="00DE73E3">
      <w:pPr>
        <w:pStyle w:val="aff8"/>
        <w:spacing w:after="0" w:line="360" w:lineRule="auto"/>
        <w:jc w:val="both"/>
        <w:rPr>
          <w:color w:val="0F1115"/>
          <w:sz w:val="28"/>
          <w:szCs w:val="28"/>
        </w:rPr>
      </w:pPr>
      <w:r>
        <w:rPr>
          <w:color w:val="0F1115"/>
          <w:sz w:val="28"/>
          <w:szCs w:val="28"/>
        </w:rPr>
        <w:tab/>
        <w:t xml:space="preserve">В сфере благоустройства в рамках краевого конкурса проектов, инициируемых жителями, реализовано 8 проектов ТОС на сумму                                  12 388,3 тыс. рублей. Выполнены работы по асфальтированию придомовых территорий, установке детских и спортивных площадок. В рамках проекта </w:t>
      </w:r>
      <w:r>
        <w:rPr>
          <w:color w:val="0F1115"/>
          <w:sz w:val="28"/>
          <w:szCs w:val="28"/>
        </w:rPr>
        <w:lastRenderedPageBreak/>
        <w:t>«100 дворов Уссурийска» и краевого проекта «Благоустройство Дальневосточных дворов» работы выполнены на 6 дворовых территориях.</w:t>
      </w:r>
    </w:p>
    <w:p w:rsidR="00B52DE3" w:rsidRDefault="00DE73E3">
      <w:pPr>
        <w:pStyle w:val="Textbody"/>
        <w:widowControl w:val="0"/>
        <w:spacing w:after="0" w:line="360" w:lineRule="auto"/>
        <w:jc w:val="both"/>
        <w:rPr>
          <w:rFonts w:ascii="Times New Roman" w:hAnsi="Times New Roman" w:cs="Times New Roman"/>
        </w:rPr>
      </w:pPr>
      <w:r>
        <w:rPr>
          <w:rFonts w:ascii="Times New Roman" w:eastAsia="Times New Roman" w:hAnsi="Times New Roman" w:cs="Times New Roman"/>
          <w:bCs/>
          <w:color w:val="000000"/>
          <w:sz w:val="28"/>
          <w:szCs w:val="28"/>
          <w:lang w:eastAsia="ru-RU"/>
        </w:rPr>
        <w:tab/>
        <w:t>16 образовательных организаций получили оборудование в рамках реализации Федерального проекта «Цифровая образовательная среда».</w:t>
      </w:r>
    </w:p>
    <w:p w:rsidR="00B52DE3" w:rsidRDefault="00DE73E3">
      <w:pPr>
        <w:pStyle w:val="Standard"/>
        <w:widowControl w:val="0"/>
        <w:spacing w:line="360" w:lineRule="auto"/>
        <w:ind w:firstLine="709"/>
        <w:jc w:val="both"/>
      </w:pPr>
      <w:r>
        <w:rPr>
          <w:color w:val="000000" w:themeColor="dark1"/>
          <w:sz w:val="28"/>
          <w:szCs w:val="28"/>
        </w:rPr>
        <w:t xml:space="preserve">Основными правовыми актами, в соответствии с которыми планировалась и осуществлялась деятельность главы Уссурийского городского округа и администрации Уссурийского городского округа, являлись Федеральный закон от 06 октября 2003 года № 131-ФЗ «Об общих принципах организации местного самоуправления в Российской Федерации», ежегодное послание Президента РФ Федеральному Собранию, </w:t>
      </w:r>
      <w:r>
        <w:rPr>
          <w:rStyle w:val="aff6"/>
          <w:b w:val="0"/>
          <w:color w:val="0F1115"/>
          <w:sz w:val="28"/>
          <w:szCs w:val="28"/>
        </w:rPr>
        <w:t>Указ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r>
        <w:rPr>
          <w:color w:val="000000" w:themeColor="dark1"/>
          <w:sz w:val="28"/>
          <w:szCs w:val="28"/>
        </w:rPr>
        <w:t xml:space="preserve">, </w:t>
      </w:r>
      <w:r>
        <w:rPr>
          <w:rStyle w:val="aff6"/>
          <w:b w:val="0"/>
          <w:sz w:val="28"/>
          <w:szCs w:val="28"/>
        </w:rPr>
        <w:t>Указ Президента Российской Федерации от 28 ноября 2024 года №1014 «Об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r>
        <w:rPr>
          <w:color w:val="000000" w:themeColor="dark1"/>
          <w:sz w:val="28"/>
          <w:szCs w:val="28"/>
        </w:rPr>
        <w:t>, Устав Уссурийского городского округа.</w:t>
      </w:r>
    </w:p>
    <w:p w:rsidR="00B52DE3" w:rsidRDefault="00DE73E3">
      <w:pPr>
        <w:pStyle w:val="1fe"/>
        <w:keepNext w:val="0"/>
        <w:keepLines w:val="0"/>
        <w:spacing w:line="240" w:lineRule="auto"/>
      </w:pPr>
      <w:bookmarkStart w:id="1" w:name="_Toc2"/>
      <w:r>
        <w:rPr>
          <w:rFonts w:eastAsia="Times New Roman"/>
        </w:rPr>
        <w:t xml:space="preserve">ИНФОРМАЦИЯ ОБ УССУРИЙСКОМ ГОРОДСКОМ ОКРУГЕ ПРИМОРСКОГО КРАЯ </w:t>
      </w:r>
      <w:bookmarkEnd w:id="1"/>
    </w:p>
    <w:p w:rsidR="00B52DE3" w:rsidRDefault="00B52DE3">
      <w:pPr>
        <w:pStyle w:val="afff1"/>
        <w:spacing w:line="360" w:lineRule="auto"/>
        <w:ind w:left="0"/>
        <w:jc w:val="center"/>
      </w:pPr>
    </w:p>
    <w:p w:rsidR="00B52DE3" w:rsidRDefault="00DE73E3">
      <w:pPr>
        <w:pStyle w:val="Heading2"/>
        <w:jc w:val="center"/>
        <w:rPr>
          <w:rFonts w:ascii="Times New Roman" w:hAnsi="Times New Roman"/>
        </w:rPr>
      </w:pPr>
      <w:bookmarkStart w:id="2" w:name="_Toc3"/>
      <w:r>
        <w:rPr>
          <w:rFonts w:ascii="Times New Roman" w:hAnsi="Times New Roman"/>
          <w:i w:val="0"/>
          <w:iCs w:val="0"/>
        </w:rPr>
        <w:t>Общие сведения</w:t>
      </w:r>
      <w:bookmarkEnd w:id="2"/>
    </w:p>
    <w:p w:rsidR="00B52DE3" w:rsidRDefault="00B52DE3">
      <w:pPr>
        <w:spacing w:after="0"/>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Уссурийский городской округ является муниципальным образованием, входящим в состав Приморского края. Наделен статусом городского округа Законом Приморского края от 06 августа 2004 года № 131-КЗ                              «Об Уссурийском городском округе Приморского края». В состав городского округа входит город Уссурийск, как исторически сложившийся центр городского округа, и 37 сельских населенных пунктов.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Уссурийский городской округ расположен в центральной части </w:t>
      </w:r>
      <w:r>
        <w:rPr>
          <w:rFonts w:ascii="Times New Roman" w:eastAsia="Times New Roman" w:hAnsi="Times New Roman" w:cs="Times New Roman"/>
          <w:sz w:val="28"/>
          <w:szCs w:val="28"/>
        </w:rPr>
        <w:lastRenderedPageBreak/>
        <w:t xml:space="preserve">Приморского края, занимает площадь 3610,1 кв. км. (2,2% от общей площади края).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отчетном периоде по основным макроэкономическим показателям, характеризующим развитие экономики и социальной сферы округа, достигнуты положительные результаты.</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За  2025 год обеспечен прирост выпуска базовых отраслей экономики в размере 110,7%  в действующих ценах по отношению к уровню 2024 года. По итогам 12 месяцев 2025 года по крупным и средним организациям обеспечен прирост:</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сфере строительства – в 2,6 раза;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сфере розничной торговли – на 120,5%;</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сфере сельского хозяйства – на 108,3%;</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сфере оказания платных услуг - на 104,6%.</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 показателям, характеризующим социальную сферу, зафиксирована разнонаправленная динамика.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На рынке труда ситуация оставалась относительно стабильной. Численность официально зарегистрированных безработных увеличилась на 1,8% и составила 224 человек</w:t>
      </w:r>
      <w:r>
        <w:rPr>
          <w:rFonts w:ascii="Times New Roman" w:hAnsi="Times New Roman" w:cs="Times New Roman"/>
        </w:rPr>
        <w:t>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Среднемесячная номинальная заработная плата по состоянию                        на 01 января 2026 года по крупным и средним организациям составила  90198,8 рублей, что на 12,0% выше, чем за 2024 год.</w:t>
      </w:r>
    </w:p>
    <w:p w:rsidR="00B52DE3" w:rsidRDefault="00DE73E3">
      <w:pPr>
        <w:pStyle w:val="1fe"/>
        <w:keepNext w:val="0"/>
        <w:keepLines w:val="0"/>
        <w:spacing w:line="240" w:lineRule="auto"/>
      </w:pPr>
      <w:bookmarkStart w:id="3" w:name="_Toc4"/>
      <w:r>
        <w:rPr>
          <w:rFonts w:eastAsia="Times New Roman"/>
        </w:rPr>
        <w:t xml:space="preserve">ОРГАНИЗАЦИЯ РАБОТЫ АДМИНИСТРАЦИИ УССУРИЙСКОГО ГОРОДСКОГО ОКРУГА ПРИМОРСКОГО КРАЯ И ВЗАИМОДЕЙСТВИЕ С ДУМОЙ УССУРИЙСКОГО ГОРОДСКОГО ОКРУГА ПРИМОРСКОГО КРАЯ </w:t>
      </w:r>
      <w:bookmarkEnd w:id="3"/>
    </w:p>
    <w:p w:rsidR="00B52DE3" w:rsidRDefault="00DE73E3">
      <w:pPr>
        <w:pStyle w:val="2f6"/>
        <w:keepNext w:val="0"/>
        <w:spacing w:before="0" w:line="240" w:lineRule="auto"/>
        <w:ind w:left="0"/>
      </w:pPr>
      <w:bookmarkStart w:id="4" w:name="_Toc5"/>
      <w:r>
        <w:t xml:space="preserve">Обеспечение контроля над исполнением в установленные сроки </w:t>
      </w:r>
      <w:bookmarkEnd w:id="4"/>
    </w:p>
    <w:p w:rsidR="00B52DE3" w:rsidRDefault="00DE73E3">
      <w:pPr>
        <w:pStyle w:val="2f6"/>
        <w:keepNext w:val="0"/>
        <w:spacing w:before="0" w:line="240" w:lineRule="auto"/>
        <w:ind w:left="0"/>
      </w:pPr>
      <w:bookmarkStart w:id="5" w:name="_Toc6"/>
      <w:r>
        <w:t>нормативных правовых актов</w:t>
      </w:r>
      <w:bookmarkEnd w:id="5"/>
    </w:p>
    <w:p w:rsidR="00B52DE3" w:rsidRDefault="00B52DE3">
      <w:pPr>
        <w:widowControl w:val="0"/>
        <w:spacing w:after="0" w:line="360" w:lineRule="auto"/>
        <w:jc w:val="center"/>
        <w:rPr>
          <w:rFonts w:ascii="Times New Roman" w:hAnsi="Times New Roman" w:cs="Times New Roman"/>
          <w:b/>
          <w:sz w:val="28"/>
          <w:szCs w:val="28"/>
        </w:rPr>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color w:val="000000"/>
          <w:sz w:val="28"/>
          <w:szCs w:val="28"/>
        </w:rPr>
        <w:t xml:space="preserve">В 2025 году осуществлялся контроль над исполнением нормативных правовых актов Правительства Приморского края, Губернатора Приморского </w:t>
      </w:r>
      <w:r>
        <w:rPr>
          <w:rFonts w:ascii="Times New Roman" w:eastAsia="Times New Roman" w:hAnsi="Times New Roman" w:cs="Times New Roman"/>
          <w:bCs/>
          <w:color w:val="000000"/>
          <w:sz w:val="28"/>
          <w:szCs w:val="28"/>
        </w:rPr>
        <w:lastRenderedPageBreak/>
        <w:t xml:space="preserve">края, Законодательного Собрания Приморского края, Думы Уссурийского городского округа Приморского края, главы Уссурийского городского округа Приморского края. По состоянию на отчетную дату из Правительства Приморского края в 2025 году поступило 214 документов для осуществления контроля над исполнением.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color w:val="000000"/>
          <w:sz w:val="28"/>
          <w:szCs w:val="28"/>
        </w:rPr>
        <w:t xml:space="preserve">Осуществлялась подготовка ежемесячных перечней нормативных правовых актов Правительства Приморского края, администрации Уссурийского городского округа Приморского края, стоящих на контроле, перечней, снятых с контроля правовых актов администрации Уссурийского городского округа Приморского края. Ежемесячно проводился мониторинг предоставления информации по исполнению перечня документов Правительства Приморского края, администрации Уссурийского городского округа Приморского края, находящихся на контроле в управлении делами. На особом контроле находятся Перечни Поручений Губернатора Приморского края по итогам рабочих поездок, тематических совещаний и личного приема граждан в Уссурийском городском округе, информация об исполнении которых актуализируется ежемесячно. </w:t>
      </w:r>
    </w:p>
    <w:p w:rsidR="00B52DE3" w:rsidRDefault="00B52DE3">
      <w:pPr>
        <w:widowControl w:val="0"/>
        <w:shd w:val="clear" w:color="auto" w:fill="FFFFFF"/>
        <w:spacing w:after="0" w:line="360" w:lineRule="auto"/>
        <w:ind w:left="6" w:right="11" w:firstLine="709"/>
        <w:jc w:val="both"/>
        <w:rPr>
          <w:rFonts w:ascii="Times New Roman" w:hAnsi="Times New Roman" w:cs="Times New Roman"/>
          <w:color w:val="000000"/>
          <w:sz w:val="28"/>
          <w:szCs w:val="28"/>
        </w:rPr>
      </w:pPr>
    </w:p>
    <w:p w:rsidR="00B52DE3" w:rsidRDefault="00DE73E3">
      <w:pPr>
        <w:pStyle w:val="2f6"/>
        <w:keepNext w:val="0"/>
        <w:spacing w:before="0" w:line="240" w:lineRule="auto"/>
        <w:ind w:left="0"/>
      </w:pPr>
      <w:bookmarkStart w:id="6" w:name="_Toc7"/>
      <w:r>
        <w:t>Соблюдение преемственности в планировании администрации Уссурийского городского округа</w:t>
      </w:r>
      <w:bookmarkEnd w:id="6"/>
    </w:p>
    <w:p w:rsidR="00B52DE3" w:rsidRDefault="00B52DE3">
      <w:pPr>
        <w:widowControl w:val="0"/>
        <w:shd w:val="clear" w:color="auto" w:fill="FFFFFF"/>
        <w:spacing w:after="0" w:line="360" w:lineRule="auto"/>
        <w:ind w:right="11"/>
        <w:jc w:val="center"/>
        <w:rPr>
          <w:rFonts w:ascii="Times New Roman" w:hAnsi="Times New Roman" w:cs="Times New Roman"/>
          <w:b/>
          <w:sz w:val="28"/>
          <w:szCs w:val="28"/>
        </w:rPr>
      </w:pPr>
    </w:p>
    <w:p w:rsidR="00B52DE3" w:rsidRDefault="00DE73E3">
      <w:pPr>
        <w:widowControl w:val="0"/>
        <w:spacing w:after="0" w:line="360" w:lineRule="auto"/>
        <w:ind w:firstLine="697"/>
        <w:jc w:val="both"/>
        <w:rPr>
          <w:rFonts w:ascii="Times New Roman" w:hAnsi="Times New Roman" w:cs="Times New Roman"/>
        </w:rPr>
      </w:pPr>
      <w:r>
        <w:rPr>
          <w:rFonts w:ascii="Times New Roman" w:eastAsia="Times New Roman" w:hAnsi="Times New Roman" w:cs="Times New Roman"/>
          <w:bCs/>
          <w:color w:val="000000"/>
          <w:spacing w:val="-2"/>
          <w:sz w:val="28"/>
          <w:szCs w:val="28"/>
        </w:rPr>
        <w:t>Разработан сводный план работы администрации Уссурийского городского округа Приморского края на 2025 год и отчет об исполнении планов работы на 2025 год администрации Уссурийского городского округа Приморского края утвержденном распоряжением администрации Уссурийского городского округа от 18 марта 2025 года № 178                               «Об утверждении плана работы администрации Уссурийского городского округа на 2025 год» на основании предложений отраслевых (функциональных) и территориальных органов администрации Уссурийского городского округа Приморского края.</w:t>
      </w:r>
    </w:p>
    <w:p w:rsidR="00B52DE3" w:rsidRDefault="00DE73E3">
      <w:pPr>
        <w:widowControl w:val="0"/>
        <w:spacing w:after="0" w:line="360" w:lineRule="auto"/>
        <w:ind w:firstLine="697"/>
        <w:jc w:val="both"/>
        <w:rPr>
          <w:rFonts w:ascii="Times New Roman" w:hAnsi="Times New Roman" w:cs="Times New Roman"/>
        </w:rPr>
      </w:pPr>
      <w:r>
        <w:rPr>
          <w:rFonts w:ascii="Times New Roman" w:eastAsia="Times New Roman" w:hAnsi="Times New Roman" w:cs="Times New Roman"/>
          <w:bCs/>
          <w:color w:val="000000"/>
          <w:spacing w:val="-2"/>
          <w:sz w:val="28"/>
          <w:szCs w:val="28"/>
        </w:rPr>
        <w:lastRenderedPageBreak/>
        <w:t>Ежемесячно формировались перечни основных мероприятий, проводимых администрацией Уссурийского городского округа Приморского края и Думой Уссурийского городского округа Приморского края.</w:t>
      </w:r>
    </w:p>
    <w:p w:rsidR="00B52DE3" w:rsidRDefault="00DE73E3">
      <w:pPr>
        <w:widowControl w:val="0"/>
        <w:spacing w:after="0" w:line="360" w:lineRule="auto"/>
        <w:ind w:firstLine="697"/>
        <w:jc w:val="both"/>
        <w:rPr>
          <w:rFonts w:ascii="Times New Roman" w:hAnsi="Times New Roman" w:cs="Times New Roman"/>
        </w:rPr>
      </w:pPr>
      <w:r>
        <w:rPr>
          <w:rFonts w:ascii="Times New Roman" w:eastAsia="Times New Roman" w:hAnsi="Times New Roman" w:cs="Times New Roman"/>
          <w:bCs/>
          <w:color w:val="000000"/>
          <w:spacing w:val="-2"/>
          <w:sz w:val="28"/>
          <w:szCs w:val="28"/>
        </w:rPr>
        <w:t>Ежемесячно осуществлялось организационно - техническое обеспечение заседаний постоянных депутатских комиссий, заседаний Думы Уссурийского городского округа. Осуществлялось методическое обеспечение в процессе подготовки проектов решений Думы Уссурийского городского округа Приморского края. В 2025 году проведены 12 заседаний Думы Уссурийского городского округа Приморского края (далее – Дума Уссурийского городского округа). На заседаниях Думы Уссурийского городского округа в 2025 году рассмотрены 153 вопроса, представленных администрацией Уссурийского городского округа Приморского края (далее – администрация Уссурийского городского округа), муниципальными учреждениями, предприятиями Уссурийского городского округа Приморского края (далее –Уссурийский городской округ). Всего приняты 153 решения Думы Уссурийского городского округа.</w:t>
      </w:r>
    </w:p>
    <w:p w:rsidR="00B52DE3" w:rsidRDefault="00DE73E3">
      <w:pPr>
        <w:widowControl w:val="0"/>
        <w:spacing w:after="0" w:line="360" w:lineRule="auto"/>
        <w:ind w:firstLine="697"/>
        <w:jc w:val="both"/>
        <w:rPr>
          <w:rFonts w:ascii="Times New Roman" w:hAnsi="Times New Roman" w:cs="Times New Roman"/>
        </w:rPr>
      </w:pPr>
      <w:r>
        <w:rPr>
          <w:rFonts w:ascii="Times New Roman" w:eastAsia="Times New Roman" w:hAnsi="Times New Roman" w:cs="Times New Roman"/>
          <w:bCs/>
          <w:color w:val="000000"/>
          <w:spacing w:val="-2"/>
          <w:sz w:val="28"/>
          <w:szCs w:val="28"/>
        </w:rPr>
        <w:t>В течение 2025 года для регистрации в Главное управление Министерства юстиции Российской Федерации направлены 4 проекта решения Думы Уссурийского городского округа «О внесении изменений в Устав Уссурийского городского округа».</w:t>
      </w:r>
    </w:p>
    <w:p w:rsidR="00B52DE3" w:rsidRDefault="00B52DE3">
      <w:pPr>
        <w:pStyle w:val="2f6"/>
        <w:keepNext w:val="0"/>
        <w:spacing w:before="0" w:line="240" w:lineRule="auto"/>
        <w:ind w:left="0"/>
      </w:pPr>
    </w:p>
    <w:p w:rsidR="00B52DE3" w:rsidRDefault="00DE73E3">
      <w:pPr>
        <w:pStyle w:val="2f6"/>
        <w:keepNext w:val="0"/>
        <w:spacing w:before="0" w:line="240" w:lineRule="auto"/>
        <w:ind w:left="0"/>
      </w:pPr>
      <w:bookmarkStart w:id="7" w:name="_Toc8"/>
      <w:r>
        <w:t>Обеспечение единого порядка документирования, организация работы с документами</w:t>
      </w:r>
      <w:bookmarkEnd w:id="7"/>
    </w:p>
    <w:p w:rsidR="00B52DE3" w:rsidRDefault="00B52DE3">
      <w:pPr>
        <w:widowControl w:val="0"/>
        <w:spacing w:after="0" w:line="360" w:lineRule="auto"/>
        <w:jc w:val="center"/>
        <w:rPr>
          <w:rFonts w:ascii="Times New Roman" w:hAnsi="Times New Roman" w:cs="Times New Roman"/>
          <w:sz w:val="28"/>
          <w:szCs w:val="28"/>
        </w:rPr>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В 2025 году согласно утвержденному графику проверок состояния организации и проведения личного приема граждан, а также контроля                    за исполнением документов по личному приему граждан в администрации Уссурийского городского округа Приморского края, в том числе состояния делопроизводства, организации документооборота и контроля за исполнением документов на 2025 год проведено 19 проверок. По результатам </w:t>
      </w:r>
      <w:r>
        <w:rPr>
          <w:rFonts w:ascii="Times New Roman" w:eastAsia="Times New Roman" w:hAnsi="Times New Roman" w:cs="Times New Roman"/>
          <w:sz w:val="28"/>
          <w:szCs w:val="28"/>
        </w:rPr>
        <w:lastRenderedPageBreak/>
        <w:t>проверок в адрес курирующих заместителей направлены справки с рекомендациями.</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С целью повышения уровня знаний сотрудников администрации Уссурийского городского округа управлением делами аппарата администрации совместно с управлением информатизации, связи и муниципальных услуг администрации проведены 3 учебных занятия по следующим темам:</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1. О единой системе планирования работы администрации. О новой форме предоставления планов работы отраслевых (функциональных) и территориальных органов администрации;</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2. О порядке изготовления, использования, хранения и уничтожения печатей и штампов в администрации;</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3. О  порядке работы с письменными обращениями граждан в соответствии с Федеральным законом от 02 мая 2006 года № 59-ФЗ;</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4. О порядке работы с сообщениями, поступившими через платформу обратной связи;</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5. О регистрации и закрытии услуг в СЭД </w:t>
      </w:r>
      <w:proofErr w:type="spellStart"/>
      <w:r>
        <w:rPr>
          <w:rFonts w:ascii="Times New Roman" w:eastAsia="Times New Roman" w:hAnsi="Times New Roman" w:cs="Times New Roman"/>
          <w:sz w:val="28"/>
          <w:szCs w:val="28"/>
        </w:rPr>
        <w:t>Directum</w:t>
      </w:r>
      <w:proofErr w:type="spellEnd"/>
      <w:r>
        <w:rPr>
          <w:rFonts w:ascii="Times New Roman" w:eastAsia="Times New Roman" w:hAnsi="Times New Roman" w:cs="Times New Roman"/>
          <w:sz w:val="28"/>
          <w:szCs w:val="28"/>
        </w:rPr>
        <w:t xml:space="preserve"> RX;</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6. О требованиях к оформлению  информаций об исполнении контрольных документов (Поручения Губернатора Приморского края, Правительства Приморского края);</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7. О работе с поступающей и исходящей корреспонденцией в системе СЭД </w:t>
      </w:r>
      <w:proofErr w:type="spellStart"/>
      <w:r>
        <w:rPr>
          <w:rFonts w:ascii="Times New Roman" w:eastAsia="Times New Roman" w:hAnsi="Times New Roman" w:cs="Times New Roman"/>
          <w:sz w:val="28"/>
          <w:szCs w:val="28"/>
        </w:rPr>
        <w:t>Directum</w:t>
      </w:r>
      <w:proofErr w:type="spellEnd"/>
      <w:r>
        <w:rPr>
          <w:rFonts w:ascii="Times New Roman" w:eastAsia="Times New Roman" w:hAnsi="Times New Roman" w:cs="Times New Roman"/>
          <w:sz w:val="28"/>
          <w:szCs w:val="28"/>
        </w:rPr>
        <w:t xml:space="preserve"> RX (осуществление контроля, снятие документов с контроля). Выдача поручений и их закрытие в СЭД </w:t>
      </w:r>
      <w:proofErr w:type="spellStart"/>
      <w:r>
        <w:rPr>
          <w:rFonts w:ascii="Times New Roman" w:eastAsia="Times New Roman" w:hAnsi="Times New Roman" w:cs="Times New Roman"/>
          <w:sz w:val="28"/>
          <w:szCs w:val="28"/>
        </w:rPr>
        <w:t>Directum</w:t>
      </w:r>
      <w:proofErr w:type="spellEnd"/>
      <w:r>
        <w:rPr>
          <w:rFonts w:ascii="Times New Roman" w:eastAsia="Times New Roman" w:hAnsi="Times New Roman" w:cs="Times New Roman"/>
          <w:sz w:val="28"/>
          <w:szCs w:val="28"/>
        </w:rPr>
        <w:t xml:space="preserve"> RX.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течение отчетного периода зарегистрированы:</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входящей документации - 18933, что превышает показатель 2024 года на 7,25 % (АППГ-17653), из них документы, поступившие из судебных органов - 3798;</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исходящей документации - 8239., что превышает показатель 2024 года на 13,4% (АППГ-7265).</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lastRenderedPageBreak/>
        <w:t xml:space="preserve">В 2025 году осуществлялась работа экспертной комиссии администрации Уссурийского городского округа (17 заседаний). </w:t>
      </w:r>
    </w:p>
    <w:p w:rsidR="00B52DE3" w:rsidRDefault="00B52DE3">
      <w:pPr>
        <w:pStyle w:val="2f6"/>
        <w:keepNext w:val="0"/>
        <w:spacing w:before="0" w:line="240" w:lineRule="auto"/>
        <w:ind w:left="0"/>
        <w:jc w:val="left"/>
      </w:pPr>
    </w:p>
    <w:p w:rsidR="00B52DE3" w:rsidRDefault="00DE73E3">
      <w:pPr>
        <w:pStyle w:val="2f6"/>
        <w:keepNext w:val="0"/>
        <w:spacing w:before="0" w:line="240" w:lineRule="auto"/>
        <w:ind w:left="0"/>
      </w:pPr>
      <w:bookmarkStart w:id="8" w:name="_Toc9"/>
      <w:r>
        <w:t xml:space="preserve">Работа с обращениями граждан, поступающими на имя главы, первых заместителей главы администрации, заместителей главы администрации Уссурийского городского округа Приморского края </w:t>
      </w:r>
      <w:bookmarkEnd w:id="8"/>
    </w:p>
    <w:p w:rsidR="00B52DE3" w:rsidRDefault="00B52DE3">
      <w:pPr>
        <w:widowControl w:val="0"/>
        <w:spacing w:after="0" w:line="360" w:lineRule="auto"/>
        <w:ind w:left="851"/>
        <w:jc w:val="center"/>
        <w:rPr>
          <w:rFonts w:ascii="Times New Roman" w:hAnsi="Times New Roman" w:cs="Times New Roman"/>
          <w:b/>
          <w:sz w:val="28"/>
          <w:szCs w:val="28"/>
        </w:rPr>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По 29 обращениям направлена информация в Правительство Приморского края, 2089 гражданам даны разъяснения по всем поставленным вопросам.</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Ежеквартально на официальном сайте администрации Уссурийского городского округа размещался обзор обращений граждан с указанием мер управляющего воздействия и мероприятий, проводимых администрацией по актуальным вопросам Уссурийского городского округа.</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Управлением делами проводился постоянный контроль за соблюдением сроков рассмотрения обращений граждан. Еженедельно информация о результатах рассмотрения обращений граждан отраслевыми (функциональными) органами администрации (о нарушенных сроках исполнения документов по обращениям граждан) доводилась до главы Уссурийского городского округа и заместителей главы администрации, инициировалось проведение служебных расследований по всем нарушенным срокам.</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В 2025 году проведены 18 личных приемов главы Уссурийского городского округа, в которых приняло участие 162 граждан.</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 xml:space="preserve">Оказано содействие в проведении 2 личных приемов граждан помощником Президента Российской Федерации.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 xml:space="preserve">В соответствии с  Перечнем Поручений Президента РФ от 21 января 2020 года № Пр-81 ведется обработка вопросов, поступивших от граждан Уссурийского городского округа на «Прямую линию Президента РФ                          в 2025 году, всего поступило 313 обращений. Данные обращения отражены в </w:t>
      </w:r>
      <w:r>
        <w:rPr>
          <w:rFonts w:ascii="Times New Roman" w:eastAsia="Times New Roman" w:hAnsi="Times New Roman" w:cs="Times New Roman"/>
          <w:color w:val="000000"/>
          <w:sz w:val="28"/>
          <w:szCs w:val="28"/>
        </w:rPr>
        <w:lastRenderedPageBreak/>
        <w:t>информационной системе «ОНФ Помощь» (далее – Система). Контроль за рассмотрением обращений, находящихся в Системе, а также внесение информации в Систему о результатах рассмотрения обращений, начиная с 2022 года, в администрации осуществлялся  управлением делами аппарата администрации.</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В соответствии с Постановлением Губернатора Приморского края                    № 713-ПП от 20 октября 2022 года «О мерах поддержки семей участников специальной военной операции» управлением делами осуществлялся контроль за предоставлением твердого топлива семьям участников СВО.</w:t>
      </w:r>
    </w:p>
    <w:p w:rsidR="00B52DE3" w:rsidRDefault="00DE73E3">
      <w:pPr>
        <w:widowControl w:val="0"/>
        <w:spacing w:after="0" w:line="360" w:lineRule="auto"/>
        <w:ind w:firstLine="708"/>
        <w:jc w:val="both"/>
        <w:rPr>
          <w:rFonts w:ascii="Times New Roman" w:hAnsi="Times New Roman" w:cs="Times New Roman"/>
          <w:highlight w:val="white"/>
        </w:rPr>
      </w:pPr>
      <w:r>
        <w:rPr>
          <w:rFonts w:ascii="Times New Roman" w:eastAsia="Times New Roman" w:hAnsi="Times New Roman" w:cs="Times New Roman"/>
          <w:color w:val="000000"/>
          <w:sz w:val="28"/>
          <w:szCs w:val="28"/>
          <w:highlight w:val="white"/>
        </w:rPr>
        <w:t>На отопительный период 2024-2025 годы по состоянию на 30 декабря 2025 года  поступило обращений по обеспечению дровами -506 (развезено - 108), углем – 471 (развезено - 416). Обеспечение членов семей участников СВО твердым топливом находится на особом контроле.</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 xml:space="preserve">С 19 августа 2025 года в здании администрации Уссурийского городского округа Приморского края по адресу: г. Уссурийск, ул. Ленина, 101, ка.109, с целью оказания консультаций и приема документов по предоставлению муниципальных услуг населению реализован проект «Открытая администрация» в формате «фронт-офис». Кабинет размещен на 1 этаже здания, с отдельным входом, оборудован пандусом для </w:t>
      </w:r>
      <w:proofErr w:type="spellStart"/>
      <w:r>
        <w:rPr>
          <w:rFonts w:ascii="Times New Roman" w:eastAsia="Times New Roman" w:hAnsi="Times New Roman" w:cs="Times New Roman"/>
          <w:color w:val="000000"/>
          <w:sz w:val="28"/>
          <w:szCs w:val="28"/>
        </w:rPr>
        <w:t>маломобильных</w:t>
      </w:r>
      <w:proofErr w:type="spellEnd"/>
      <w:r>
        <w:rPr>
          <w:rFonts w:ascii="Times New Roman" w:eastAsia="Times New Roman" w:hAnsi="Times New Roman" w:cs="Times New Roman"/>
          <w:color w:val="000000"/>
          <w:sz w:val="28"/>
          <w:szCs w:val="28"/>
        </w:rPr>
        <w:t xml:space="preserve"> групп населения. Кабинет состоит из 3 помещений, в одном из которых расположена общественная приемная главы Уссурийского городского округа Приморского края, где проводятся личные приемы граждан главой Уссурийского городского округа Приморского края и иными должностными лицами, осуществляется прием обращений граждан, в случае необходимости оперативного решения вопросов проводятся консультации граждан руководителями отраслевых (функциональных) органов администрации Уссурийского городского округа Приморского края. Во втором помещении предусмотрено рабочее место с гостевым компьютером, где граждане могут подать заявление в электронном виде, а также получить </w:t>
      </w:r>
      <w:r>
        <w:rPr>
          <w:rFonts w:ascii="Times New Roman" w:eastAsia="Times New Roman" w:hAnsi="Times New Roman" w:cs="Times New Roman"/>
          <w:color w:val="000000"/>
          <w:sz w:val="28"/>
          <w:szCs w:val="28"/>
        </w:rPr>
        <w:lastRenderedPageBreak/>
        <w:t>консультацию по предоставлению муниципальных услуг в электронном виде. В третьем помещении согласно графику сотрудниками администрации Уссурийского городского округа Приморского края гражданам оказываются консультации, а также ведется прием документов по оказанию муниципальных услуг.</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ab/>
        <w:t>Информация о графике приема граждан специалистами администрации Уссурийского городского округа Приморского края по оказанию муниципальных услуг населению размещена на официальном сайте администрации Уссурийского городского округа Приморского края.</w:t>
      </w:r>
    </w:p>
    <w:p w:rsidR="00B52DE3" w:rsidRDefault="00DE73E3">
      <w:pPr>
        <w:pStyle w:val="2f6"/>
        <w:keepNext w:val="0"/>
        <w:spacing w:line="240" w:lineRule="auto"/>
        <w:ind w:left="0"/>
      </w:pPr>
      <w:bookmarkStart w:id="9" w:name="_Toc10"/>
      <w:r>
        <w:t>Организационно-техническое обеспечение подготовки выборов, а также подготовки к проведению празднования 80-й годовщины Победы в Великой Отечественной войне</w:t>
      </w:r>
      <w:bookmarkEnd w:id="9"/>
    </w:p>
    <w:p w:rsidR="00B52DE3" w:rsidRDefault="00B52DE3">
      <w:pPr>
        <w:pStyle w:val="2f6"/>
        <w:keepNext w:val="0"/>
        <w:spacing w:line="240" w:lineRule="auto"/>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рамках проведения празднования 80-й годовщины Победы в Великой Отечественной войны:</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составлены маршруты адресов ветеранов Великой отечественной войны для вручения подарков к празднику Дня Победы. Организовано вручение подарков сотрудниками администрации от имени главы Уссурийского городского округа Приморского края участникам Великой Отечественной войны, ветеранам локальных войн, несовершеннолетним узникам концлагерей, блокадникам. Кроме того, в рамках проведения мероприятий, посвященных Дню Победы, оформлены и выданы пропуска и приглашения на Центральную площадь, трибуны. </w:t>
      </w:r>
    </w:p>
    <w:p w:rsidR="00B52DE3" w:rsidRDefault="00DE73E3">
      <w:pPr>
        <w:pStyle w:val="aff8"/>
        <w:widowControl w:val="0"/>
        <w:spacing w:after="0" w:line="360" w:lineRule="auto"/>
        <w:ind w:firstLine="708"/>
        <w:jc w:val="both"/>
        <w:rPr>
          <w:color w:val="0F1115"/>
          <w:sz w:val="24"/>
        </w:rPr>
      </w:pPr>
      <w:r>
        <w:rPr>
          <w:color w:val="0F1115"/>
          <w:sz w:val="28"/>
          <w:szCs w:val="28"/>
        </w:rPr>
        <w:t>В 2025 году в Уссурийске был проведён комплекс мероприятий, приуроченных к 80-летию Победы в Великой Отечественной войне. Программа охватила как предпраздничные дни, так и основные торжества 9 мая, а также дополнительные события в последующие дни.</w:t>
      </w:r>
    </w:p>
    <w:p w:rsidR="00B52DE3" w:rsidRDefault="00DE73E3">
      <w:pPr>
        <w:pStyle w:val="aff8"/>
        <w:spacing w:after="0" w:line="360" w:lineRule="auto"/>
        <w:jc w:val="both"/>
        <w:rPr>
          <w:color w:val="0F1115"/>
          <w:sz w:val="28"/>
          <w:szCs w:val="28"/>
        </w:rPr>
      </w:pPr>
      <w:r>
        <w:rPr>
          <w:color w:val="0F1115"/>
          <w:sz w:val="28"/>
          <w:szCs w:val="28"/>
        </w:rPr>
        <w:tab/>
        <w:t xml:space="preserve">24 апреля 2025 года состоялся смотр строя и песни «Правнуки Победителей 2025» на базе школы № 25 им. В. Г. </w:t>
      </w:r>
      <w:proofErr w:type="spellStart"/>
      <w:r>
        <w:rPr>
          <w:color w:val="0F1115"/>
          <w:sz w:val="28"/>
          <w:szCs w:val="28"/>
        </w:rPr>
        <w:t>Асапова</w:t>
      </w:r>
      <w:proofErr w:type="spellEnd"/>
      <w:r>
        <w:rPr>
          <w:color w:val="0F1115"/>
          <w:sz w:val="28"/>
          <w:szCs w:val="28"/>
        </w:rPr>
        <w:t xml:space="preserve">, в котором </w:t>
      </w:r>
      <w:r>
        <w:rPr>
          <w:color w:val="0F1115"/>
          <w:sz w:val="28"/>
          <w:szCs w:val="28"/>
        </w:rPr>
        <w:lastRenderedPageBreak/>
        <w:t>приняли участие воспитанники 28 детских садов Уссурийского городского округа. 07 мая 2025 года прошёл театрализованный концерт «Цвета войны» в МЦКД «Горизонт», концерт «Про женщин Великой Победы» в голубом зале ДОРА и фестиваль ледовых видов спорта «Победный Олимп» на крытом тренировочном катке «Олимп».</w:t>
      </w:r>
    </w:p>
    <w:p w:rsidR="00B52DE3" w:rsidRDefault="00DE73E3">
      <w:pPr>
        <w:pStyle w:val="aff8"/>
        <w:spacing w:after="0" w:line="360" w:lineRule="auto"/>
        <w:jc w:val="both"/>
        <w:rPr>
          <w:color w:val="0F1115"/>
          <w:sz w:val="28"/>
          <w:szCs w:val="28"/>
        </w:rPr>
      </w:pPr>
      <w:r>
        <w:rPr>
          <w:color w:val="0F1115"/>
          <w:sz w:val="28"/>
          <w:szCs w:val="28"/>
        </w:rPr>
        <w:tab/>
        <w:t xml:space="preserve">08 мая 2025 года состоялось возложение венков и цветов к мемориалу </w:t>
      </w:r>
      <w:proofErr w:type="spellStart"/>
      <w:r>
        <w:rPr>
          <w:color w:val="0F1115"/>
          <w:sz w:val="28"/>
          <w:szCs w:val="28"/>
        </w:rPr>
        <w:t>уссурийцам</w:t>
      </w:r>
      <w:proofErr w:type="spellEnd"/>
      <w:r>
        <w:rPr>
          <w:color w:val="0F1115"/>
          <w:sz w:val="28"/>
          <w:szCs w:val="28"/>
        </w:rPr>
        <w:t>, погибшим в годы Великой Отечественной войны, акция «Ура! Победа» на площадке около кинотеатра «Россия», спектакль театра                         им. В. Ф. Комиссаржевской «Чтобы помнили» на центральной площади, патриотическая акция «Свеча памяти» и минута молчания на центральной площади.</w:t>
      </w:r>
    </w:p>
    <w:p w:rsidR="00B52DE3" w:rsidRDefault="00DE73E3">
      <w:pPr>
        <w:pStyle w:val="aff8"/>
        <w:spacing w:after="0" w:line="360" w:lineRule="auto"/>
        <w:jc w:val="both"/>
        <w:rPr>
          <w:color w:val="0F1115"/>
          <w:sz w:val="28"/>
          <w:szCs w:val="28"/>
        </w:rPr>
      </w:pPr>
      <w:r>
        <w:rPr>
          <w:color w:val="0F1115"/>
          <w:sz w:val="28"/>
          <w:szCs w:val="28"/>
        </w:rPr>
        <w:tab/>
        <w:t xml:space="preserve">09 мая 2025 года в рамках празднования Дня Победы был организован статический показ военной техники на улице Володарского и парад войск Уссурийского гарнизона на центральной площади. Проведено шествие «Бессмертный полк». На центральной площади состоялись театрализованное представление «Дорогами Победы», акция «Солдатская каша» на трёх площадках — на прилегающей территории к ДОРА, у центрального входа в городской парк и на территории у шахматного клуба, а также работа локальных площадок, хореографический </w:t>
      </w:r>
      <w:proofErr w:type="spellStart"/>
      <w:r>
        <w:rPr>
          <w:color w:val="0F1115"/>
          <w:sz w:val="28"/>
          <w:szCs w:val="28"/>
        </w:rPr>
        <w:t>флешмоб</w:t>
      </w:r>
      <w:proofErr w:type="spellEnd"/>
      <w:r>
        <w:rPr>
          <w:color w:val="0F1115"/>
          <w:sz w:val="28"/>
          <w:szCs w:val="28"/>
        </w:rPr>
        <w:t xml:space="preserve"> «Синий платочек», дневной концерт с участием муниципальных творческих коллективов «Победа-80!», выступление оркестра Уссурийского суворовского военного училища и театрализованный концерт «Память сердца: город в годы войны». Кроме того, на центральной площади выступил коллектив ВИА «Пламя». В городском парке состоялся концерт «Победный май». Торжества завершились </w:t>
      </w:r>
      <w:proofErr w:type="spellStart"/>
      <w:r>
        <w:rPr>
          <w:color w:val="0F1115"/>
          <w:sz w:val="28"/>
          <w:szCs w:val="28"/>
        </w:rPr>
        <w:t>мэппинг-шоу</w:t>
      </w:r>
      <w:proofErr w:type="spellEnd"/>
      <w:r>
        <w:rPr>
          <w:color w:val="0F1115"/>
          <w:sz w:val="28"/>
          <w:szCs w:val="28"/>
        </w:rPr>
        <w:t xml:space="preserve"> и праздничным салютом на центральной площади.</w:t>
      </w:r>
    </w:p>
    <w:p w:rsidR="00B52DE3" w:rsidRDefault="00DE73E3">
      <w:pPr>
        <w:pStyle w:val="aff8"/>
        <w:spacing w:after="0" w:line="360" w:lineRule="auto"/>
        <w:jc w:val="both"/>
        <w:rPr>
          <w:color w:val="0F1115"/>
          <w:sz w:val="28"/>
          <w:szCs w:val="28"/>
        </w:rPr>
      </w:pPr>
      <w:r>
        <w:rPr>
          <w:color w:val="0F1115"/>
          <w:sz w:val="28"/>
          <w:szCs w:val="28"/>
        </w:rPr>
        <w:tab/>
        <w:t xml:space="preserve">13 мая 2025 года в спортивном комплексе «Локомотив» прошёл фестиваль по рукопашному бою «Память поколений», посвящённый 80-летию Победы. В турнире приняли участие более 800 спортсменов в возрасте </w:t>
      </w:r>
      <w:r>
        <w:rPr>
          <w:color w:val="0F1115"/>
          <w:sz w:val="28"/>
          <w:szCs w:val="28"/>
        </w:rPr>
        <w:lastRenderedPageBreak/>
        <w:t>от 4 до 17 лет из Амурской области, Приморского края и Еврейской автономной области.</w:t>
      </w:r>
    </w:p>
    <w:p w:rsidR="00B52DE3" w:rsidRDefault="00DE73E3">
      <w:pPr>
        <w:pStyle w:val="aff8"/>
        <w:spacing w:after="0" w:line="360" w:lineRule="auto"/>
        <w:jc w:val="both"/>
        <w:rPr>
          <w:color w:val="0F1115"/>
          <w:sz w:val="28"/>
          <w:szCs w:val="28"/>
        </w:rPr>
      </w:pPr>
      <w:r>
        <w:rPr>
          <w:color w:val="0F1115"/>
          <w:sz w:val="28"/>
          <w:szCs w:val="28"/>
        </w:rPr>
        <w:tab/>
        <w:t>Все мероприятия были направлены на сохранение исторической памяти, патриотическое воспитание молодёжи и чествование подвига советского народа в Великой Отечественной войне.</w:t>
      </w:r>
    </w:p>
    <w:p w:rsidR="00B52DE3" w:rsidRDefault="00DE73E3">
      <w:pPr>
        <w:pStyle w:val="1fe"/>
        <w:keepNext w:val="0"/>
        <w:keepLines w:val="0"/>
        <w:spacing w:line="240" w:lineRule="auto"/>
      </w:pPr>
      <w:bookmarkStart w:id="10" w:name="_Toc11"/>
      <w:r>
        <w:rPr>
          <w:rFonts w:eastAsia="Times New Roman"/>
        </w:rPr>
        <w:t xml:space="preserve">СОСТАВЛЕНИЕ И РАССМОТРЕНИЕ ПРОЕКТА БЮДЖЕТА, УТВЕРЖДЕНИЕ И ИСПОЛНЕНИЕМ БЮДЖЕТА, ОСУЩЕСТВЛЕНИЕ КОНТРОЛЯ ЗА ЕГО ИСПОЛНЕНИЕМ, СОСТАВЛЕНИЕ И УТВЕРЖДЕНИЕ ОТЧЕТА ОБ ИСПОЛНЕНИИ БЮДЖЕТА УССУРИЙСКОГО ГОРОДСКОГО ОКРУГА ПРИМОРСКОГО КРАЯ </w:t>
      </w:r>
      <w:bookmarkEnd w:id="10"/>
    </w:p>
    <w:p w:rsidR="00B52DE3" w:rsidRDefault="00B52DE3">
      <w:pPr>
        <w:widowControl w:val="0"/>
        <w:shd w:val="clear" w:color="auto" w:fill="FFFFFF"/>
        <w:tabs>
          <w:tab w:val="left" w:pos="709"/>
        </w:tabs>
        <w:spacing w:after="0" w:line="360" w:lineRule="auto"/>
        <w:ind w:firstLine="709"/>
        <w:contextualSpacing/>
        <w:jc w:val="both"/>
        <w:rPr>
          <w:rFonts w:ascii="Times New Roman" w:hAnsi="Times New Roman" w:cs="Times New Roman"/>
        </w:rPr>
      </w:pPr>
    </w:p>
    <w:p w:rsidR="00B52DE3" w:rsidRDefault="00DE73E3">
      <w:pPr>
        <w:widowControl w:val="0"/>
        <w:shd w:val="clear" w:color="auto" w:fill="FFFFFF"/>
        <w:tabs>
          <w:tab w:val="left" w:pos="709"/>
        </w:tabs>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2025 году бюджетная политика, реализуемая на территории Уссурийского городского округа Приморского края, была направлена на реализацию задач по обеспечению сбалансированности и устойчивости бюджета, повышение качества бюджетного планирования и исполнения бюджета, выполнение задач, оставленных Президентом Российской Федерации в ежегодных Посланиях Федеральному Собранию, указах Президента Российской Федерации, на реализацию национальных проектов </w:t>
      </w:r>
      <w:r>
        <w:rPr>
          <w:rFonts w:ascii="Times New Roman" w:eastAsia="Times New Roman" w:hAnsi="Times New Roman" w:cs="Times New Roman"/>
          <w:sz w:val="28"/>
          <w:szCs w:val="28"/>
        </w:rPr>
        <w:br/>
        <w:t>и мероприятий долгосроч</w:t>
      </w:r>
      <w:r>
        <w:rPr>
          <w:rFonts w:ascii="Times New Roman" w:eastAsia="Times New Roman" w:hAnsi="Times New Roman" w:cs="Times New Roman"/>
          <w:color w:val="000000"/>
          <w:sz w:val="28"/>
          <w:szCs w:val="28"/>
        </w:rPr>
        <w:t>ного плана компл</w:t>
      </w:r>
      <w:r>
        <w:rPr>
          <w:rFonts w:ascii="Times New Roman" w:eastAsia="Times New Roman" w:hAnsi="Times New Roman" w:cs="Times New Roman"/>
          <w:sz w:val="28"/>
          <w:szCs w:val="28"/>
        </w:rPr>
        <w:t xml:space="preserve">ексного социально-экономического развития Уссурийского городского округа Приморского края на период до 2030 года. </w:t>
      </w:r>
    </w:p>
    <w:p w:rsidR="00B52DE3" w:rsidRDefault="00DE73E3">
      <w:pPr>
        <w:widowControl w:val="0"/>
        <w:shd w:val="clear" w:color="auto" w:fill="FFFFFF"/>
        <w:tabs>
          <w:tab w:val="left" w:pos="709"/>
        </w:tabs>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При исполнении бюджета Уссурийского городского округа Приморского края администрация Уссурийского городского округа Приморского края руководствовалась следующими приоритетами:</w:t>
      </w:r>
    </w:p>
    <w:p w:rsidR="00B52DE3" w:rsidRDefault="00DE73E3">
      <w:pPr>
        <w:widowControl w:val="0"/>
        <w:shd w:val="clear" w:color="auto" w:fill="FFFFFF"/>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обеспечение сбалансированности доходов и расходов бюджетной системы городского округа;</w:t>
      </w:r>
    </w:p>
    <w:p w:rsidR="00B52DE3" w:rsidRDefault="00DE73E3">
      <w:pPr>
        <w:widowControl w:val="0"/>
        <w:shd w:val="clear" w:color="auto" w:fill="FFFFFF"/>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выполнение принятых бюджетных обязательств;</w:t>
      </w:r>
    </w:p>
    <w:p w:rsidR="00B52DE3" w:rsidRDefault="00DE73E3">
      <w:pPr>
        <w:widowControl w:val="0"/>
        <w:shd w:val="clear" w:color="auto" w:fill="FFFFFF"/>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повышение уровня и качества жизни населения Уссурийского городского округа Приморского края;</w:t>
      </w:r>
    </w:p>
    <w:p w:rsidR="00B52DE3" w:rsidRDefault="00DE73E3">
      <w:pPr>
        <w:widowControl w:val="0"/>
        <w:shd w:val="clear" w:color="auto" w:fill="FFFFFF"/>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lastRenderedPageBreak/>
        <w:t>создание условий для оказания качественных муниципальных услуг;</w:t>
      </w:r>
    </w:p>
    <w:p w:rsidR="00B52DE3" w:rsidRDefault="00DE73E3">
      <w:pPr>
        <w:widowControl w:val="0"/>
        <w:shd w:val="clear" w:color="auto" w:fill="FFFFFF"/>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обеспечение открытости и прозрачности бюджета и бюджетного процесса;</w:t>
      </w:r>
    </w:p>
    <w:p w:rsidR="00B52DE3" w:rsidRDefault="00DE73E3">
      <w:pPr>
        <w:widowControl w:val="0"/>
        <w:shd w:val="clear" w:color="auto" w:fill="FFFFFF"/>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 xml:space="preserve">соблюдение безопасного уровня дефицита бюджета; </w:t>
      </w:r>
    </w:p>
    <w:p w:rsidR="00B52DE3" w:rsidRDefault="00DE73E3">
      <w:pPr>
        <w:widowControl w:val="0"/>
        <w:shd w:val="clear" w:color="auto" w:fill="FFFFFF"/>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ограничение роста расходов бюджета, не обеспеченных стабильными доходными источниками.</w:t>
      </w:r>
    </w:p>
    <w:p w:rsidR="00B52DE3" w:rsidRDefault="00DE73E3">
      <w:pPr>
        <w:widowControl w:val="0"/>
        <w:shd w:val="clear" w:color="auto" w:fill="FFFFFF"/>
        <w:tabs>
          <w:tab w:val="left" w:pos="709"/>
        </w:tabs>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Основные параметры исполнения бюджета за 2025 год характеризуются следующими показателями:</w:t>
      </w:r>
    </w:p>
    <w:p w:rsidR="00B52DE3" w:rsidRDefault="00DE73E3">
      <w:pPr>
        <w:widowControl w:val="0"/>
        <w:shd w:val="clear" w:color="auto" w:fill="FFFFFF"/>
        <w:tabs>
          <w:tab w:val="left" w:pos="709"/>
        </w:tabs>
        <w:spacing w:after="0"/>
        <w:contextualSpacing/>
        <w:jc w:val="right"/>
        <w:rPr>
          <w:rFonts w:ascii="Times New Roman" w:hAnsi="Times New Roman" w:cs="Times New Roman"/>
        </w:rPr>
      </w:pPr>
      <w:r>
        <w:rPr>
          <w:rFonts w:ascii="Times New Roman" w:eastAsia="Times New Roman" w:hAnsi="Times New Roman" w:cs="Times New Roman"/>
          <w:sz w:val="28"/>
          <w:szCs w:val="28"/>
        </w:rPr>
        <w:t>млн. рублей</w:t>
      </w:r>
    </w:p>
    <w:tbl>
      <w:tblPr>
        <w:tblW w:w="9785" w:type="dxa"/>
        <w:tblInd w:w="-113" w:type="dxa"/>
        <w:tblLayout w:type="fixed"/>
        <w:tblLook w:val="04A0"/>
      </w:tblPr>
      <w:tblGrid>
        <w:gridCol w:w="4110"/>
        <w:gridCol w:w="2126"/>
        <w:gridCol w:w="2139"/>
        <w:gridCol w:w="1410"/>
      </w:tblGrid>
      <w:tr w:rsidR="00B52DE3">
        <w:tc>
          <w:tcPr>
            <w:tcW w:w="41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Наименование показателя</w:t>
            </w:r>
          </w:p>
        </w:tc>
        <w:tc>
          <w:tcPr>
            <w:tcW w:w="2126"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План на 2025 год</w:t>
            </w:r>
          </w:p>
        </w:tc>
        <w:tc>
          <w:tcPr>
            <w:tcW w:w="213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Исполнено</w:t>
            </w:r>
          </w:p>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за 2025 год</w:t>
            </w:r>
          </w:p>
        </w:tc>
        <w:tc>
          <w:tcPr>
            <w:tcW w:w="1410"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 исполнения</w:t>
            </w:r>
          </w:p>
        </w:tc>
      </w:tr>
      <w:tr w:rsidR="00B52DE3">
        <w:tc>
          <w:tcPr>
            <w:tcW w:w="41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rPr>
                <w:rFonts w:ascii="Times New Roman" w:hAnsi="Times New Roman" w:cs="Times New Roman"/>
              </w:rPr>
            </w:pPr>
            <w:r>
              <w:rPr>
                <w:rFonts w:ascii="Times New Roman" w:eastAsia="Times New Roman" w:hAnsi="Times New Roman" w:cs="Times New Roman"/>
                <w:sz w:val="28"/>
                <w:szCs w:val="28"/>
              </w:rPr>
              <w:t>Доходы – всего, в том числе</w:t>
            </w:r>
          </w:p>
        </w:tc>
        <w:tc>
          <w:tcPr>
            <w:tcW w:w="2126"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11 485,29</w:t>
            </w:r>
          </w:p>
        </w:tc>
        <w:tc>
          <w:tcPr>
            <w:tcW w:w="213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10 932,01</w:t>
            </w:r>
          </w:p>
        </w:tc>
        <w:tc>
          <w:tcPr>
            <w:tcW w:w="1410"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95,2</w:t>
            </w:r>
          </w:p>
        </w:tc>
      </w:tr>
      <w:tr w:rsidR="00B52DE3">
        <w:tc>
          <w:tcPr>
            <w:tcW w:w="41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rPr>
                <w:rFonts w:ascii="Times New Roman" w:hAnsi="Times New Roman" w:cs="Times New Roman"/>
              </w:rPr>
            </w:pPr>
            <w:r>
              <w:rPr>
                <w:rFonts w:ascii="Times New Roman" w:eastAsia="Times New Roman" w:hAnsi="Times New Roman" w:cs="Times New Roman"/>
                <w:sz w:val="28"/>
                <w:szCs w:val="28"/>
              </w:rPr>
              <w:t>Налоговые и неналоговые доходы</w:t>
            </w:r>
          </w:p>
        </w:tc>
        <w:tc>
          <w:tcPr>
            <w:tcW w:w="2126"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4 653,74</w:t>
            </w:r>
          </w:p>
        </w:tc>
        <w:tc>
          <w:tcPr>
            <w:tcW w:w="213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4 872,65</w:t>
            </w:r>
          </w:p>
        </w:tc>
        <w:tc>
          <w:tcPr>
            <w:tcW w:w="1410"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104,7</w:t>
            </w:r>
          </w:p>
        </w:tc>
      </w:tr>
      <w:tr w:rsidR="00B52DE3">
        <w:tc>
          <w:tcPr>
            <w:tcW w:w="41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rPr>
                <w:rFonts w:ascii="Times New Roman" w:hAnsi="Times New Roman" w:cs="Times New Roman"/>
              </w:rPr>
            </w:pPr>
            <w:r>
              <w:rPr>
                <w:rFonts w:ascii="Times New Roman" w:eastAsia="Times New Roman" w:hAnsi="Times New Roman" w:cs="Times New Roman"/>
                <w:sz w:val="28"/>
                <w:szCs w:val="28"/>
              </w:rPr>
              <w:t>Безвозмездные поступления</w:t>
            </w:r>
          </w:p>
        </w:tc>
        <w:tc>
          <w:tcPr>
            <w:tcW w:w="2126"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6 831,55</w:t>
            </w:r>
          </w:p>
        </w:tc>
        <w:tc>
          <w:tcPr>
            <w:tcW w:w="213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6 059,36</w:t>
            </w:r>
          </w:p>
        </w:tc>
        <w:tc>
          <w:tcPr>
            <w:tcW w:w="1410"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88,7</w:t>
            </w:r>
          </w:p>
        </w:tc>
      </w:tr>
      <w:tr w:rsidR="00B52DE3">
        <w:tc>
          <w:tcPr>
            <w:tcW w:w="41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rPr>
                <w:rFonts w:ascii="Times New Roman" w:hAnsi="Times New Roman" w:cs="Times New Roman"/>
              </w:rPr>
            </w:pPr>
            <w:r>
              <w:rPr>
                <w:rFonts w:ascii="Times New Roman" w:eastAsia="Times New Roman" w:hAnsi="Times New Roman" w:cs="Times New Roman"/>
                <w:sz w:val="28"/>
                <w:szCs w:val="28"/>
              </w:rPr>
              <w:t>Расходы</w:t>
            </w:r>
          </w:p>
        </w:tc>
        <w:tc>
          <w:tcPr>
            <w:tcW w:w="2126"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11 923,03</w:t>
            </w:r>
          </w:p>
        </w:tc>
        <w:tc>
          <w:tcPr>
            <w:tcW w:w="213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10 990,25</w:t>
            </w:r>
          </w:p>
        </w:tc>
        <w:tc>
          <w:tcPr>
            <w:tcW w:w="1410"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92,2</w:t>
            </w:r>
          </w:p>
        </w:tc>
      </w:tr>
      <w:tr w:rsidR="00B52DE3">
        <w:tc>
          <w:tcPr>
            <w:tcW w:w="41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rPr>
                <w:rFonts w:ascii="Times New Roman" w:hAnsi="Times New Roman" w:cs="Times New Roman"/>
              </w:rPr>
            </w:pPr>
            <w:r>
              <w:rPr>
                <w:rFonts w:ascii="Times New Roman" w:eastAsia="Times New Roman" w:hAnsi="Times New Roman" w:cs="Times New Roman"/>
                <w:sz w:val="28"/>
                <w:szCs w:val="28"/>
              </w:rPr>
              <w:t xml:space="preserve">Дефицит (-), </w:t>
            </w:r>
            <w:proofErr w:type="spellStart"/>
            <w:r>
              <w:rPr>
                <w:rFonts w:ascii="Times New Roman" w:eastAsia="Times New Roman" w:hAnsi="Times New Roman" w:cs="Times New Roman"/>
                <w:sz w:val="28"/>
                <w:szCs w:val="28"/>
              </w:rPr>
              <w:t>профицит</w:t>
            </w:r>
            <w:proofErr w:type="spellEnd"/>
            <w:r>
              <w:rPr>
                <w:rFonts w:ascii="Times New Roman" w:eastAsia="Times New Roman" w:hAnsi="Times New Roman" w:cs="Times New Roman"/>
                <w:sz w:val="28"/>
                <w:szCs w:val="28"/>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- 445,03</w:t>
            </w:r>
          </w:p>
        </w:tc>
        <w:tc>
          <w:tcPr>
            <w:tcW w:w="213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58,24</w:t>
            </w:r>
          </w:p>
        </w:tc>
        <w:tc>
          <w:tcPr>
            <w:tcW w:w="1410" w:type="dxa"/>
            <w:tcBorders>
              <w:top w:val="single" w:sz="4" w:space="0" w:color="000000"/>
              <w:left w:val="single" w:sz="4" w:space="0" w:color="000000"/>
              <w:bottom w:val="single" w:sz="4" w:space="0" w:color="000000"/>
              <w:right w:val="single" w:sz="4" w:space="0" w:color="000000"/>
            </w:tcBorders>
          </w:tcPr>
          <w:p w:rsidR="00B52DE3" w:rsidRDefault="00B52DE3">
            <w:pPr>
              <w:widowControl w:val="0"/>
              <w:tabs>
                <w:tab w:val="left" w:pos="709"/>
              </w:tabs>
              <w:spacing w:after="0"/>
              <w:contextualSpacing/>
              <w:jc w:val="center"/>
              <w:rPr>
                <w:rFonts w:ascii="Times New Roman" w:hAnsi="Times New Roman" w:cs="Times New Roman"/>
                <w:sz w:val="28"/>
                <w:szCs w:val="28"/>
              </w:rPr>
            </w:pPr>
          </w:p>
        </w:tc>
      </w:tr>
      <w:tr w:rsidR="00B52DE3">
        <w:tc>
          <w:tcPr>
            <w:tcW w:w="41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rPr>
                <w:rFonts w:ascii="Times New Roman" w:hAnsi="Times New Roman" w:cs="Times New Roman"/>
              </w:rPr>
            </w:pPr>
            <w:r>
              <w:rPr>
                <w:rFonts w:ascii="Times New Roman" w:eastAsia="Times New Roman" w:hAnsi="Times New Roman" w:cs="Times New Roman"/>
                <w:sz w:val="28"/>
                <w:szCs w:val="28"/>
              </w:rPr>
              <w:t>Источники покрытия дефицита</w:t>
            </w:r>
          </w:p>
        </w:tc>
        <w:tc>
          <w:tcPr>
            <w:tcW w:w="2126" w:type="dxa"/>
            <w:tcBorders>
              <w:top w:val="single" w:sz="4" w:space="0" w:color="000000"/>
              <w:left w:val="single" w:sz="4" w:space="0" w:color="000000"/>
              <w:bottom w:val="single" w:sz="4" w:space="0" w:color="000000"/>
              <w:right w:val="single" w:sz="4" w:space="0" w:color="000000"/>
            </w:tcBorders>
          </w:tcPr>
          <w:p w:rsidR="00B52DE3" w:rsidRDefault="00B52DE3">
            <w:pPr>
              <w:widowControl w:val="0"/>
              <w:tabs>
                <w:tab w:val="left" w:pos="709"/>
              </w:tabs>
              <w:spacing w:after="0"/>
              <w:contextualSpacing/>
              <w:jc w:val="center"/>
              <w:rPr>
                <w:rFonts w:ascii="Times New Roman" w:hAnsi="Times New Roman" w:cs="Times New Roman"/>
                <w:color w:val="000000"/>
              </w:rPr>
            </w:pPr>
          </w:p>
        </w:tc>
        <w:tc>
          <w:tcPr>
            <w:tcW w:w="2139" w:type="dxa"/>
            <w:tcBorders>
              <w:top w:val="single" w:sz="4" w:space="0" w:color="000000"/>
              <w:left w:val="single" w:sz="4" w:space="0" w:color="000000"/>
              <w:bottom w:val="single" w:sz="4" w:space="0" w:color="000000"/>
              <w:right w:val="single" w:sz="4" w:space="0" w:color="000000"/>
            </w:tcBorders>
          </w:tcPr>
          <w:p w:rsidR="00B52DE3" w:rsidRDefault="00B52DE3">
            <w:pPr>
              <w:widowControl w:val="0"/>
              <w:tabs>
                <w:tab w:val="left" w:pos="709"/>
              </w:tabs>
              <w:spacing w:after="0"/>
              <w:contextualSpacing/>
              <w:jc w:val="center"/>
              <w:rPr>
                <w:rFonts w:ascii="Times New Roman" w:hAnsi="Times New Roman" w:cs="Times New Roman"/>
                <w:color w:val="000000"/>
              </w:rPr>
            </w:pPr>
          </w:p>
        </w:tc>
        <w:tc>
          <w:tcPr>
            <w:tcW w:w="1410" w:type="dxa"/>
            <w:tcBorders>
              <w:top w:val="single" w:sz="4" w:space="0" w:color="000000"/>
              <w:left w:val="single" w:sz="4" w:space="0" w:color="000000"/>
              <w:bottom w:val="single" w:sz="4" w:space="0" w:color="000000"/>
              <w:right w:val="single" w:sz="4" w:space="0" w:color="000000"/>
            </w:tcBorders>
          </w:tcPr>
          <w:p w:rsidR="00B52DE3" w:rsidRDefault="00B52DE3">
            <w:pPr>
              <w:widowControl w:val="0"/>
              <w:tabs>
                <w:tab w:val="left" w:pos="709"/>
              </w:tabs>
              <w:spacing w:after="0"/>
              <w:contextualSpacing/>
              <w:jc w:val="center"/>
              <w:rPr>
                <w:rFonts w:ascii="Times New Roman" w:hAnsi="Times New Roman" w:cs="Times New Roman"/>
                <w:sz w:val="28"/>
                <w:szCs w:val="28"/>
              </w:rPr>
            </w:pPr>
          </w:p>
        </w:tc>
      </w:tr>
      <w:tr w:rsidR="00B52DE3">
        <w:tc>
          <w:tcPr>
            <w:tcW w:w="41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rPr>
                <w:rFonts w:ascii="Times New Roman" w:hAnsi="Times New Roman" w:cs="Times New Roman"/>
              </w:rPr>
            </w:pPr>
            <w:r>
              <w:rPr>
                <w:rFonts w:ascii="Times New Roman" w:eastAsia="Times New Roman" w:hAnsi="Times New Roman" w:cs="Times New Roman"/>
                <w:sz w:val="28"/>
                <w:szCs w:val="28"/>
              </w:rPr>
              <w:t xml:space="preserve">         остатки на счете бюджета</w:t>
            </w:r>
          </w:p>
        </w:tc>
        <w:tc>
          <w:tcPr>
            <w:tcW w:w="2126"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410,09</w:t>
            </w:r>
          </w:p>
        </w:tc>
        <w:tc>
          <w:tcPr>
            <w:tcW w:w="213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115,24</w:t>
            </w:r>
          </w:p>
        </w:tc>
        <w:tc>
          <w:tcPr>
            <w:tcW w:w="1410" w:type="dxa"/>
            <w:tcBorders>
              <w:top w:val="single" w:sz="4" w:space="0" w:color="000000"/>
              <w:left w:val="single" w:sz="4" w:space="0" w:color="000000"/>
              <w:bottom w:val="single" w:sz="4" w:space="0" w:color="000000"/>
              <w:right w:val="single" w:sz="4" w:space="0" w:color="000000"/>
            </w:tcBorders>
          </w:tcPr>
          <w:p w:rsidR="00B52DE3" w:rsidRDefault="00B52DE3">
            <w:pPr>
              <w:widowControl w:val="0"/>
              <w:tabs>
                <w:tab w:val="left" w:pos="709"/>
              </w:tabs>
              <w:spacing w:after="0"/>
              <w:contextualSpacing/>
              <w:jc w:val="center"/>
              <w:rPr>
                <w:rFonts w:ascii="Times New Roman" w:hAnsi="Times New Roman" w:cs="Times New Roman"/>
                <w:sz w:val="28"/>
                <w:szCs w:val="28"/>
              </w:rPr>
            </w:pPr>
          </w:p>
        </w:tc>
      </w:tr>
      <w:tr w:rsidR="00B52DE3">
        <w:trPr>
          <w:trHeight w:val="298"/>
        </w:trPr>
        <w:tc>
          <w:tcPr>
            <w:tcW w:w="4109" w:type="dxa"/>
            <w:tcBorders>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rPr>
                <w:rFonts w:ascii="Times New Roman" w:hAnsi="Times New Roman" w:cs="Times New Roman"/>
              </w:rPr>
            </w:pPr>
            <w:r>
              <w:rPr>
                <w:rFonts w:ascii="Times New Roman" w:eastAsia="Times New Roman" w:hAnsi="Times New Roman" w:cs="Times New Roman"/>
                <w:sz w:val="28"/>
                <w:szCs w:val="28"/>
              </w:rPr>
              <w:t xml:space="preserve">         кредиты</w:t>
            </w:r>
          </w:p>
        </w:tc>
        <w:tc>
          <w:tcPr>
            <w:tcW w:w="2126" w:type="dxa"/>
            <w:tcBorders>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34,94</w:t>
            </w:r>
          </w:p>
        </w:tc>
        <w:tc>
          <w:tcPr>
            <w:tcW w:w="2139" w:type="dxa"/>
            <w:tcBorders>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sz w:val="28"/>
                <w:szCs w:val="28"/>
              </w:rPr>
              <w:t>-57,0</w:t>
            </w:r>
          </w:p>
        </w:tc>
        <w:tc>
          <w:tcPr>
            <w:tcW w:w="1410" w:type="dxa"/>
            <w:tcBorders>
              <w:left w:val="single" w:sz="4" w:space="0" w:color="000000"/>
              <w:bottom w:val="single" w:sz="4" w:space="0" w:color="000000"/>
              <w:right w:val="single" w:sz="4" w:space="0" w:color="000000"/>
            </w:tcBorders>
          </w:tcPr>
          <w:p w:rsidR="00B52DE3" w:rsidRDefault="00B52DE3">
            <w:pPr>
              <w:widowControl w:val="0"/>
              <w:tabs>
                <w:tab w:val="left" w:pos="709"/>
              </w:tabs>
              <w:spacing w:after="0"/>
              <w:contextualSpacing/>
              <w:jc w:val="center"/>
              <w:rPr>
                <w:rFonts w:ascii="Times New Roman" w:hAnsi="Times New Roman" w:cs="Times New Roman"/>
                <w:sz w:val="28"/>
                <w:szCs w:val="28"/>
              </w:rPr>
            </w:pPr>
          </w:p>
        </w:tc>
      </w:tr>
    </w:tbl>
    <w:p w:rsidR="00B52DE3" w:rsidRDefault="00B52DE3">
      <w:pPr>
        <w:widowControl w:val="0"/>
        <w:spacing w:after="0"/>
        <w:ind w:firstLine="709"/>
        <w:contextualSpacing/>
        <w:jc w:val="both"/>
        <w:rPr>
          <w:rFonts w:ascii="Times New Roman" w:hAnsi="Times New Roman" w:cs="Times New Roman"/>
          <w:sz w:val="28"/>
          <w:szCs w:val="28"/>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Благодаря осуществлению ежедневного контроля за полным и своевременным поступлением в местный бюджет налоговых и неналоговых доходов, удалось достичь перевыполнения первоначального прогноза поступлений доходов на 15,42%. </w:t>
      </w:r>
    </w:p>
    <w:p w:rsidR="00B52DE3" w:rsidRDefault="00DE73E3">
      <w:pPr>
        <w:widowControl w:val="0"/>
        <w:spacing w:after="0"/>
        <w:ind w:firstLine="709"/>
        <w:contextualSpacing/>
        <w:jc w:val="center"/>
        <w:rPr>
          <w:rFonts w:ascii="Times New Roman" w:hAnsi="Times New Roman" w:cs="Times New Roman"/>
        </w:rPr>
      </w:pPr>
      <w:r>
        <w:rPr>
          <w:rFonts w:ascii="Times New Roman" w:eastAsia="Times New Roman" w:hAnsi="Times New Roman" w:cs="Times New Roman"/>
          <w:sz w:val="28"/>
          <w:szCs w:val="28"/>
        </w:rPr>
        <w:t>Доходная часть бюджета по сравнению с 2024 годом</w:t>
      </w:r>
    </w:p>
    <w:p w:rsidR="00B52DE3" w:rsidRDefault="00DE73E3">
      <w:pPr>
        <w:widowControl w:val="0"/>
        <w:shd w:val="clear" w:color="auto" w:fill="FFFFFF"/>
        <w:spacing w:after="0"/>
        <w:ind w:firstLine="709"/>
        <w:contextualSpacing/>
        <w:jc w:val="center"/>
        <w:rPr>
          <w:rFonts w:ascii="Times New Roman" w:hAnsi="Times New Roman" w:cs="Times New Roman"/>
        </w:rPr>
      </w:pPr>
      <w:r>
        <w:rPr>
          <w:rFonts w:ascii="Times New Roman" w:eastAsia="Times New Roman" w:hAnsi="Times New Roman" w:cs="Times New Roman"/>
          <w:sz w:val="28"/>
          <w:szCs w:val="28"/>
        </w:rPr>
        <w:t xml:space="preserve">                                                                                                     млн. рублей</w:t>
      </w:r>
    </w:p>
    <w:tbl>
      <w:tblPr>
        <w:tblW w:w="9463" w:type="dxa"/>
        <w:tblInd w:w="-113" w:type="dxa"/>
        <w:tblLayout w:type="fixed"/>
        <w:tblLook w:val="04A0"/>
      </w:tblPr>
      <w:tblGrid>
        <w:gridCol w:w="3347"/>
        <w:gridCol w:w="2092"/>
        <w:gridCol w:w="1880"/>
        <w:gridCol w:w="2144"/>
      </w:tblGrid>
      <w:tr w:rsidR="00B52DE3">
        <w:tc>
          <w:tcPr>
            <w:tcW w:w="334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Виды доходов</w:t>
            </w:r>
          </w:p>
        </w:tc>
        <w:tc>
          <w:tcPr>
            <w:tcW w:w="2092"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2024 год</w:t>
            </w:r>
          </w:p>
        </w:tc>
        <w:tc>
          <w:tcPr>
            <w:tcW w:w="188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2025 год</w:t>
            </w:r>
          </w:p>
        </w:tc>
        <w:tc>
          <w:tcPr>
            <w:tcW w:w="214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2025 год в %</w:t>
            </w:r>
          </w:p>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к 2024 году</w:t>
            </w:r>
          </w:p>
        </w:tc>
      </w:tr>
      <w:tr w:rsidR="00B52DE3">
        <w:tc>
          <w:tcPr>
            <w:tcW w:w="334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rPr>
                <w:rFonts w:ascii="Times New Roman" w:hAnsi="Times New Roman" w:cs="Times New Roman"/>
              </w:rPr>
            </w:pPr>
            <w:r>
              <w:rPr>
                <w:rFonts w:ascii="Times New Roman" w:eastAsia="Times New Roman" w:hAnsi="Times New Roman" w:cs="Times New Roman"/>
                <w:sz w:val="28"/>
                <w:szCs w:val="28"/>
              </w:rPr>
              <w:t>Налоговые</w:t>
            </w:r>
          </w:p>
        </w:tc>
        <w:tc>
          <w:tcPr>
            <w:tcW w:w="2092"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3 254,94</w:t>
            </w:r>
          </w:p>
        </w:tc>
        <w:tc>
          <w:tcPr>
            <w:tcW w:w="188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4 342,34</w:t>
            </w:r>
          </w:p>
        </w:tc>
        <w:tc>
          <w:tcPr>
            <w:tcW w:w="214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133,4</w:t>
            </w:r>
          </w:p>
        </w:tc>
      </w:tr>
      <w:tr w:rsidR="00B52DE3">
        <w:tc>
          <w:tcPr>
            <w:tcW w:w="334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rPr>
                <w:rFonts w:ascii="Times New Roman" w:hAnsi="Times New Roman" w:cs="Times New Roman"/>
              </w:rPr>
            </w:pPr>
            <w:r>
              <w:rPr>
                <w:rFonts w:ascii="Times New Roman" w:eastAsia="Times New Roman" w:hAnsi="Times New Roman" w:cs="Times New Roman"/>
                <w:sz w:val="28"/>
                <w:szCs w:val="28"/>
              </w:rPr>
              <w:t>Неналоговые</w:t>
            </w:r>
          </w:p>
        </w:tc>
        <w:tc>
          <w:tcPr>
            <w:tcW w:w="2092"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550,96</w:t>
            </w:r>
          </w:p>
        </w:tc>
        <w:tc>
          <w:tcPr>
            <w:tcW w:w="188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530,31</w:t>
            </w:r>
          </w:p>
        </w:tc>
        <w:tc>
          <w:tcPr>
            <w:tcW w:w="214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96,2</w:t>
            </w:r>
          </w:p>
        </w:tc>
      </w:tr>
      <w:tr w:rsidR="00B52DE3">
        <w:tc>
          <w:tcPr>
            <w:tcW w:w="334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rPr>
                <w:rFonts w:ascii="Times New Roman" w:hAnsi="Times New Roman" w:cs="Times New Roman"/>
              </w:rPr>
            </w:pPr>
            <w:r>
              <w:rPr>
                <w:rFonts w:ascii="Times New Roman" w:eastAsia="Times New Roman" w:hAnsi="Times New Roman" w:cs="Times New Roman"/>
                <w:b/>
                <w:sz w:val="28"/>
                <w:szCs w:val="28"/>
              </w:rPr>
              <w:t>Итого собственные</w:t>
            </w:r>
          </w:p>
        </w:tc>
        <w:tc>
          <w:tcPr>
            <w:tcW w:w="2092"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b/>
                <w:sz w:val="28"/>
                <w:szCs w:val="28"/>
              </w:rPr>
              <w:t>3 805,91</w:t>
            </w:r>
          </w:p>
        </w:tc>
        <w:tc>
          <w:tcPr>
            <w:tcW w:w="1880"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709"/>
              </w:tabs>
              <w:spacing w:after="0"/>
              <w:contextualSpacing/>
              <w:jc w:val="center"/>
              <w:rPr>
                <w:rFonts w:ascii="Times New Roman" w:hAnsi="Times New Roman" w:cs="Times New Roman"/>
              </w:rPr>
            </w:pPr>
            <w:r>
              <w:rPr>
                <w:rFonts w:ascii="Times New Roman" w:eastAsia="Times New Roman" w:hAnsi="Times New Roman" w:cs="Times New Roman"/>
                <w:b/>
                <w:bCs/>
                <w:sz w:val="28"/>
                <w:szCs w:val="28"/>
              </w:rPr>
              <w:t>4 872,65</w:t>
            </w:r>
          </w:p>
        </w:tc>
        <w:tc>
          <w:tcPr>
            <w:tcW w:w="214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b/>
                <w:sz w:val="28"/>
                <w:szCs w:val="28"/>
              </w:rPr>
              <w:t>128,0</w:t>
            </w:r>
          </w:p>
        </w:tc>
      </w:tr>
      <w:tr w:rsidR="00B52DE3">
        <w:tc>
          <w:tcPr>
            <w:tcW w:w="334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rPr>
                <w:rFonts w:ascii="Times New Roman" w:hAnsi="Times New Roman" w:cs="Times New Roman"/>
              </w:rPr>
            </w:pPr>
            <w:r>
              <w:rPr>
                <w:rFonts w:ascii="Times New Roman" w:eastAsia="Times New Roman" w:hAnsi="Times New Roman" w:cs="Times New Roman"/>
                <w:sz w:val="28"/>
                <w:szCs w:val="28"/>
              </w:rPr>
              <w:lastRenderedPageBreak/>
              <w:t>Безвозмездные перечисления</w:t>
            </w:r>
          </w:p>
        </w:tc>
        <w:tc>
          <w:tcPr>
            <w:tcW w:w="2092"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5 047,18</w:t>
            </w:r>
          </w:p>
        </w:tc>
        <w:tc>
          <w:tcPr>
            <w:tcW w:w="188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6 059,36</w:t>
            </w:r>
          </w:p>
        </w:tc>
        <w:tc>
          <w:tcPr>
            <w:tcW w:w="214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sz w:val="28"/>
                <w:szCs w:val="28"/>
              </w:rPr>
              <w:t>120,0</w:t>
            </w:r>
          </w:p>
        </w:tc>
      </w:tr>
      <w:tr w:rsidR="00B52DE3">
        <w:tc>
          <w:tcPr>
            <w:tcW w:w="334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rPr>
                <w:rFonts w:ascii="Times New Roman" w:hAnsi="Times New Roman" w:cs="Times New Roman"/>
              </w:rPr>
            </w:pPr>
            <w:r>
              <w:rPr>
                <w:rFonts w:ascii="Times New Roman" w:eastAsia="Times New Roman" w:hAnsi="Times New Roman" w:cs="Times New Roman"/>
                <w:b/>
                <w:sz w:val="28"/>
                <w:szCs w:val="28"/>
              </w:rPr>
              <w:t>ВСЕГО</w:t>
            </w:r>
          </w:p>
        </w:tc>
        <w:tc>
          <w:tcPr>
            <w:tcW w:w="2092"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b/>
                <w:sz w:val="28"/>
                <w:szCs w:val="28"/>
              </w:rPr>
              <w:t>8 853,09</w:t>
            </w:r>
          </w:p>
          <w:p w:rsidR="00B52DE3" w:rsidRDefault="00B52DE3">
            <w:pPr>
              <w:widowControl w:val="0"/>
              <w:spacing w:after="0"/>
              <w:ind w:firstLine="34"/>
              <w:contextualSpacing/>
              <w:jc w:val="center"/>
              <w:rPr>
                <w:rFonts w:ascii="Times New Roman" w:hAnsi="Times New Roman" w:cs="Times New Roman"/>
                <w:b/>
              </w:rPr>
            </w:pPr>
          </w:p>
        </w:tc>
        <w:tc>
          <w:tcPr>
            <w:tcW w:w="188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b/>
                <w:bCs/>
                <w:sz w:val="28"/>
                <w:szCs w:val="28"/>
              </w:rPr>
              <w:t>10 932,01</w:t>
            </w:r>
          </w:p>
          <w:p w:rsidR="00B52DE3" w:rsidRDefault="00B52DE3">
            <w:pPr>
              <w:widowControl w:val="0"/>
              <w:spacing w:after="0"/>
              <w:ind w:firstLine="34"/>
              <w:contextualSpacing/>
              <w:jc w:val="center"/>
              <w:rPr>
                <w:rFonts w:ascii="Times New Roman" w:hAnsi="Times New Roman" w:cs="Times New Roman"/>
                <w:b/>
              </w:rPr>
            </w:pPr>
          </w:p>
        </w:tc>
        <w:tc>
          <w:tcPr>
            <w:tcW w:w="214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ind w:firstLine="34"/>
              <w:contextualSpacing/>
              <w:jc w:val="center"/>
              <w:rPr>
                <w:rFonts w:ascii="Times New Roman" w:hAnsi="Times New Roman" w:cs="Times New Roman"/>
              </w:rPr>
            </w:pPr>
            <w:r>
              <w:rPr>
                <w:rFonts w:ascii="Times New Roman" w:eastAsia="Times New Roman" w:hAnsi="Times New Roman" w:cs="Times New Roman"/>
                <w:b/>
                <w:sz w:val="28"/>
                <w:szCs w:val="28"/>
              </w:rPr>
              <w:t>123,5</w:t>
            </w:r>
          </w:p>
        </w:tc>
      </w:tr>
    </w:tbl>
    <w:p w:rsidR="00B52DE3" w:rsidRDefault="00B52DE3">
      <w:pPr>
        <w:widowControl w:val="0"/>
        <w:tabs>
          <w:tab w:val="left" w:pos="709"/>
        </w:tabs>
        <w:spacing w:after="0" w:line="360" w:lineRule="auto"/>
        <w:ind w:firstLine="709"/>
        <w:contextualSpacing/>
        <w:jc w:val="both"/>
        <w:rPr>
          <w:rFonts w:ascii="Times New Roman" w:hAnsi="Times New Roman" w:cs="Times New Roman"/>
        </w:rPr>
      </w:pPr>
    </w:p>
    <w:p w:rsidR="00B52DE3" w:rsidRDefault="00DE73E3">
      <w:pPr>
        <w:widowControl w:val="0"/>
        <w:tabs>
          <w:tab w:val="left" w:pos="709"/>
        </w:tabs>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Объем налоговых и неналоговых доходов бюджета к уровню прошлого года вырос на 28,0 % в связи ростом </w:t>
      </w:r>
      <w:r>
        <w:rPr>
          <w:rFonts w:ascii="Times New Roman" w:eastAsia="Times New Roman" w:hAnsi="Times New Roman" w:cs="Times New Roman"/>
          <w:color w:val="000000"/>
          <w:sz w:val="28"/>
          <w:szCs w:val="28"/>
        </w:rPr>
        <w:t xml:space="preserve">поступлений по налоговым доходным источникам, и роста поступлений платежам за аренду земельных участков, платежам за аренду муниципального имущества, доходов в виде прибыли от дивидендов по акциям, платы за негативное воздействие на окружающую среду, платы за увеличение площади земельных участков. </w:t>
      </w:r>
    </w:p>
    <w:p w:rsidR="00B52DE3" w:rsidRDefault="00DE73E3">
      <w:pPr>
        <w:pStyle w:val="afff1"/>
        <w:spacing w:line="360" w:lineRule="auto"/>
        <w:ind w:left="0" w:firstLine="709"/>
        <w:jc w:val="both"/>
        <w:rPr>
          <w:sz w:val="28"/>
          <w:szCs w:val="28"/>
        </w:rPr>
      </w:pPr>
      <w:r>
        <w:rPr>
          <w:sz w:val="28"/>
          <w:szCs w:val="28"/>
        </w:rPr>
        <w:t xml:space="preserve">В целях </w:t>
      </w:r>
      <w:r>
        <w:rPr>
          <w:bCs/>
          <w:sz w:val="28"/>
          <w:szCs w:val="28"/>
        </w:rPr>
        <w:t>повышения поступлений налоговых и неналоговых доходов, сокращения недоимки по уплате налогов и иных обязательных платежей в бюджет Уссурийского городского округа Приморского края в 2025 году проводилась работа по поиску внутренних резервов</w:t>
      </w:r>
      <w:r>
        <w:rPr>
          <w:sz w:val="28"/>
          <w:szCs w:val="28"/>
        </w:rPr>
        <w:t>.</w:t>
      </w:r>
    </w:p>
    <w:p w:rsidR="00B52DE3" w:rsidRDefault="00DE73E3">
      <w:pPr>
        <w:pStyle w:val="afff1"/>
        <w:spacing w:line="360" w:lineRule="auto"/>
        <w:ind w:left="0" w:firstLine="709"/>
        <w:jc w:val="both"/>
        <w:rPr>
          <w:sz w:val="28"/>
          <w:szCs w:val="28"/>
        </w:rPr>
      </w:pPr>
      <w:r>
        <w:rPr>
          <w:sz w:val="28"/>
          <w:szCs w:val="28"/>
        </w:rPr>
        <w:t>Для обеспечения долгосрочной сбалансированности и устойчивости бюджетной системы администрацией Уссурийского городского округа Приморского края принят План мероприятий по росту доходного потенциала, оптимизации расходов и совершенствованию долговой политики Уссурийского городского округа на период с 2025 по 2030 годы</w:t>
      </w:r>
      <w:r>
        <w:rPr>
          <w:bCs/>
          <w:sz w:val="28"/>
          <w:szCs w:val="28"/>
        </w:rPr>
        <w:t>, предусматривающий:</w:t>
      </w:r>
    </w:p>
    <w:p w:rsidR="00B52DE3" w:rsidRDefault="00DE73E3">
      <w:pPr>
        <w:widowControl w:val="0"/>
        <w:tabs>
          <w:tab w:val="left" w:pos="709"/>
        </w:tabs>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обеспечение роста поступлений налогов и других обязательных платежей в местный бюджет;</w:t>
      </w:r>
    </w:p>
    <w:p w:rsidR="00B52DE3" w:rsidRDefault="00DE73E3">
      <w:pPr>
        <w:widowControl w:val="0"/>
        <w:tabs>
          <w:tab w:val="left" w:pos="709"/>
        </w:tabs>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снижение недоимки по местным налогам, оптимизация расходов, в том числе за счет снижения неэффективных затрат;</w:t>
      </w:r>
    </w:p>
    <w:p w:rsidR="00B52DE3" w:rsidRDefault="00DE73E3">
      <w:pPr>
        <w:widowControl w:val="0"/>
        <w:tabs>
          <w:tab w:val="left" w:pos="709"/>
        </w:tabs>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проведение оценки эффективности предоставляемых (</w:t>
      </w:r>
      <w:r>
        <w:rPr>
          <w:rFonts w:ascii="Times New Roman" w:eastAsia="Times New Roman" w:hAnsi="Times New Roman" w:cs="Times New Roman"/>
          <w:color w:val="000000"/>
          <w:sz w:val="28"/>
          <w:szCs w:val="28"/>
        </w:rPr>
        <w:t>планируемых к предоставлению) налоговых льгот по местным налогам</w:t>
      </w:r>
      <w:r>
        <w:rPr>
          <w:rFonts w:ascii="Times New Roman" w:eastAsia="Times New Roman" w:hAnsi="Times New Roman" w:cs="Times New Roman"/>
          <w:sz w:val="28"/>
          <w:szCs w:val="28"/>
        </w:rPr>
        <w:t xml:space="preserve">. </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В рамках реализации Плана:</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 xml:space="preserve">проводился ежедневный мониторинг налоговых и неналоговых поступлений, что позволило своевременно реагировать на динамику </w:t>
      </w:r>
      <w:r>
        <w:rPr>
          <w:rFonts w:ascii="Times New Roman" w:eastAsia="Times New Roman" w:hAnsi="Times New Roman" w:cs="Times New Roman"/>
          <w:color w:val="000000"/>
          <w:sz w:val="28"/>
          <w:szCs w:val="28"/>
        </w:rPr>
        <w:lastRenderedPageBreak/>
        <w:t xml:space="preserve">поступлений в течение года и принимать эффективные меры по мобилизации доходов в местный бюджет; </w:t>
      </w:r>
    </w:p>
    <w:p w:rsidR="00B52DE3" w:rsidRDefault="00DE73E3">
      <w:pPr>
        <w:pStyle w:val="72"/>
        <w:widowControl w:val="0"/>
        <w:spacing w:after="0" w:line="360" w:lineRule="auto"/>
        <w:ind w:firstLine="709"/>
        <w:contextualSpacing/>
        <w:jc w:val="both"/>
      </w:pPr>
      <w:r>
        <w:rPr>
          <w:color w:val="000000"/>
          <w:sz w:val="28"/>
          <w:szCs w:val="28"/>
        </w:rPr>
        <w:t xml:space="preserve">проведено 10 заседаний Межведомственной комиссии по налоговой </w:t>
      </w:r>
      <w:r>
        <w:rPr>
          <w:color w:val="000000"/>
          <w:sz w:val="28"/>
          <w:szCs w:val="28"/>
        </w:rPr>
        <w:br/>
        <w:t>и социальной политике при главе Уссурийского городского округа Приморского края, на которых рассматривались вопросы погашения задолженности организаций и физических лиц в бюджетную систему Российской Федерации и внебюджетные фонды. В адрес налогоплательщиков в 2025 году направлено уведомлений о наличии задолженности и необходимости ее погашения в количестве 252 штук. По результатам работы комиссии общая сумма погашенной задолженности в бюджеты всех уровней составила 270,20 млн. рублей, в том числе: по местным налогам 7,02 млн. рублей, в Пенсионный фонд и Фонд социального страхования – 11,97 млн. рублей.</w:t>
      </w:r>
    </w:p>
    <w:p w:rsidR="00B52DE3" w:rsidRDefault="00DE73E3">
      <w:pPr>
        <w:pStyle w:val="72"/>
        <w:widowControl w:val="0"/>
        <w:spacing w:after="0" w:line="360" w:lineRule="auto"/>
        <w:ind w:firstLine="709"/>
        <w:jc w:val="both"/>
      </w:pPr>
      <w:r>
        <w:rPr>
          <w:color w:val="000000"/>
          <w:sz w:val="28"/>
          <w:szCs w:val="28"/>
        </w:rPr>
        <w:t>При этом на постоянной основе проводится контроль выполнения решений комиссии в установленные сроки. На каждом заседании комиссии заслушивается информация об исполнении ранее принятых решений.</w:t>
      </w:r>
    </w:p>
    <w:p w:rsidR="00B52DE3" w:rsidRDefault="00DE73E3">
      <w:pPr>
        <w:pStyle w:val="72"/>
        <w:widowControl w:val="0"/>
        <w:spacing w:after="0" w:line="360" w:lineRule="auto"/>
        <w:ind w:firstLine="709"/>
        <w:jc w:val="both"/>
      </w:pPr>
      <w:r>
        <w:rPr>
          <w:color w:val="000000"/>
          <w:sz w:val="28"/>
          <w:szCs w:val="28"/>
        </w:rPr>
        <w:t xml:space="preserve">В целях повышения эффективности администрирования неналоговых доходов организована адресная работа с арендаторами, имеющими задолженность, в том числе по арендной плате за земельные участки. </w:t>
      </w:r>
      <w:r>
        <w:rPr>
          <w:color w:val="000000"/>
          <w:sz w:val="28"/>
          <w:szCs w:val="28"/>
        </w:rPr>
        <w:br/>
        <w:t>В результате проведенной работы просроченная задолженность по арендной плате за земельные участки снизилась на 2,32 млн. рублей, в том числе вследствие проведенных работ по выявлению и списанию задолженности, невозможной к взысканию.</w:t>
      </w:r>
    </w:p>
    <w:p w:rsidR="00B52DE3" w:rsidRDefault="00DE73E3">
      <w:pPr>
        <w:pStyle w:val="72"/>
        <w:widowControl w:val="0"/>
        <w:spacing w:after="0" w:line="360" w:lineRule="auto"/>
        <w:ind w:firstLine="709"/>
        <w:jc w:val="both"/>
      </w:pPr>
      <w:r>
        <w:rPr>
          <w:color w:val="000000"/>
          <w:sz w:val="28"/>
          <w:szCs w:val="28"/>
        </w:rPr>
        <w:t xml:space="preserve">В целях выявления фактов неформальной занятости на территории Уссурийского городского округа Приморского края специалистами Управления социальных отношений администрации Уссурийского городского округа Приморского края совместно с представителями МИФНС № 9 по Приморскому краю, было проведено 57 рейдов по 257 субъектам предпринимательства, из которых 40 предоставили трудовые договоры                        </w:t>
      </w:r>
      <w:r>
        <w:rPr>
          <w:color w:val="000000"/>
          <w:sz w:val="28"/>
          <w:szCs w:val="28"/>
        </w:rPr>
        <w:lastRenderedPageBreak/>
        <w:t>с 82 работниками.</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 xml:space="preserve">В целях оптимизации льгот по земельному налогу и налогу на имущество физических лиц в 2025 году проведена оценка эффективности налоговых льгот (налоговых расходов) по местным налогам. По результатам оценки эффективности действующие налоговые льготы по земельному налогу и налогу на имущество физических лиц признаны эффективными. </w:t>
      </w:r>
    </w:p>
    <w:p w:rsidR="00B52DE3" w:rsidRDefault="00DE73E3">
      <w:pPr>
        <w:widowControl w:val="0"/>
        <w:spacing w:after="75"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Ключевой задачей бюджетной политики администрации Уссурийского городского округа Приморского края в сфере расходов являлось безусловное исполнение требований и ограничений бюджетного законодательства, исполнение принятых расходных обязательств наиболее эффективным способом, мобилизация внутренних источников.</w:t>
      </w:r>
    </w:p>
    <w:p w:rsidR="00B52DE3" w:rsidRDefault="00DE73E3">
      <w:pPr>
        <w:widowControl w:val="0"/>
        <w:tabs>
          <w:tab w:val="left" w:pos="709"/>
        </w:tabs>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Этот подход позволил предотвратить риски, связанные с принятием дополнительных не обеспеченных финансовыми ресурсами расходных обязательств, возникновением кредиторской задолженности бюджета.</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Исполнение бюджета Уссурийского городского округа Приморского края за 2025 год по расходам характеризуется следующими показателями:</w:t>
      </w:r>
    </w:p>
    <w:p w:rsidR="00B52DE3" w:rsidRDefault="00B52DE3">
      <w:pPr>
        <w:widowControl w:val="0"/>
        <w:spacing w:after="0"/>
        <w:contextualSpacing/>
        <w:jc w:val="right"/>
        <w:rPr>
          <w:rFonts w:ascii="Times New Roman" w:hAnsi="Times New Roman" w:cs="Times New Roman"/>
        </w:rPr>
      </w:pPr>
    </w:p>
    <w:p w:rsidR="00B52DE3" w:rsidRDefault="00DE73E3">
      <w:pPr>
        <w:widowControl w:val="0"/>
        <w:spacing w:after="0"/>
        <w:contextualSpacing/>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млн. рублей</w:t>
      </w:r>
    </w:p>
    <w:tbl>
      <w:tblPr>
        <w:tblW w:w="9640" w:type="dxa"/>
        <w:tblInd w:w="-113" w:type="dxa"/>
        <w:tblLayout w:type="fixed"/>
        <w:tblLook w:val="04A0"/>
      </w:tblPr>
      <w:tblGrid>
        <w:gridCol w:w="2973"/>
        <w:gridCol w:w="1557"/>
        <w:gridCol w:w="1141"/>
        <w:gridCol w:w="1560"/>
        <w:gridCol w:w="1071"/>
        <w:gridCol w:w="1338"/>
      </w:tblGrid>
      <w:tr w:rsidR="00B52DE3">
        <w:trPr>
          <w:trHeight w:val="255"/>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rsidR="00B52DE3" w:rsidRDefault="00B52DE3">
            <w:pPr>
              <w:widowControl w:val="0"/>
              <w:spacing w:after="0"/>
              <w:ind w:firstLine="709"/>
              <w:contextualSpacing/>
              <w:rPr>
                <w:rFonts w:ascii="Times New Roman" w:hAnsi="Times New Roman" w:cs="Times New Roman"/>
                <w:color w:val="000000"/>
              </w:rPr>
            </w:pPr>
          </w:p>
        </w:tc>
        <w:tc>
          <w:tcPr>
            <w:tcW w:w="2698" w:type="dxa"/>
            <w:gridSpan w:val="2"/>
            <w:tcBorders>
              <w:top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contextualSpacing/>
              <w:jc w:val="center"/>
              <w:rPr>
                <w:rFonts w:ascii="Times New Roman" w:hAnsi="Times New Roman" w:cs="Times New Roman"/>
              </w:rPr>
            </w:pPr>
            <w:r>
              <w:rPr>
                <w:rFonts w:ascii="Times New Roman" w:eastAsia="Times New Roman" w:hAnsi="Times New Roman" w:cs="Times New Roman"/>
                <w:bCs/>
                <w:color w:val="000000"/>
                <w:sz w:val="28"/>
                <w:szCs w:val="28"/>
              </w:rPr>
              <w:t>2024 год</w:t>
            </w:r>
          </w:p>
        </w:tc>
        <w:tc>
          <w:tcPr>
            <w:tcW w:w="2631" w:type="dxa"/>
            <w:gridSpan w:val="2"/>
            <w:tcBorders>
              <w:top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contextualSpacing/>
              <w:jc w:val="center"/>
              <w:rPr>
                <w:rFonts w:ascii="Times New Roman" w:hAnsi="Times New Roman" w:cs="Times New Roman"/>
              </w:rPr>
            </w:pPr>
            <w:r>
              <w:rPr>
                <w:rFonts w:ascii="Times New Roman" w:eastAsia="Times New Roman" w:hAnsi="Times New Roman" w:cs="Times New Roman"/>
                <w:bCs/>
                <w:color w:val="000000"/>
                <w:sz w:val="28"/>
                <w:szCs w:val="28"/>
              </w:rPr>
              <w:t>2025 год</w:t>
            </w:r>
          </w:p>
        </w:tc>
        <w:tc>
          <w:tcPr>
            <w:tcW w:w="1338" w:type="dxa"/>
            <w:vMerge w:val="restart"/>
            <w:tcBorders>
              <w:top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contextualSpacing/>
              <w:jc w:val="center"/>
              <w:rPr>
                <w:rFonts w:ascii="Times New Roman" w:hAnsi="Times New Roman" w:cs="Times New Roman"/>
              </w:rPr>
            </w:pPr>
            <w:r>
              <w:rPr>
                <w:rFonts w:ascii="Times New Roman" w:eastAsia="Times New Roman" w:hAnsi="Times New Roman" w:cs="Times New Roman"/>
                <w:bCs/>
                <w:color w:val="000000"/>
                <w:sz w:val="28"/>
                <w:szCs w:val="28"/>
              </w:rPr>
              <w:t>% к 2024 году</w:t>
            </w:r>
          </w:p>
        </w:tc>
      </w:tr>
      <w:tr w:rsidR="00B52DE3">
        <w:trPr>
          <w:trHeight w:val="437"/>
        </w:trPr>
        <w:tc>
          <w:tcPr>
            <w:tcW w:w="2972"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rsidR="00B52DE3" w:rsidRDefault="00B52DE3"/>
        </w:tc>
        <w:tc>
          <w:tcPr>
            <w:tcW w:w="1557" w:type="dxa"/>
            <w:tcBorders>
              <w:bottom w:val="single" w:sz="4" w:space="0" w:color="000000"/>
              <w:right w:val="single" w:sz="4" w:space="0" w:color="000000"/>
            </w:tcBorders>
            <w:shd w:val="clear" w:color="auto" w:fill="FFFFFF"/>
            <w:vAlign w:val="center"/>
          </w:tcPr>
          <w:p w:rsidR="00B52DE3" w:rsidRDefault="00DE73E3">
            <w:pPr>
              <w:widowControl w:val="0"/>
              <w:spacing w:after="0" w:line="240" w:lineRule="auto"/>
              <w:contextualSpacing/>
              <w:jc w:val="center"/>
              <w:rPr>
                <w:rFonts w:ascii="Times New Roman" w:hAnsi="Times New Roman" w:cs="Times New Roman"/>
              </w:rPr>
            </w:pPr>
            <w:r>
              <w:rPr>
                <w:rFonts w:ascii="Times New Roman" w:eastAsia="Times New Roman" w:hAnsi="Times New Roman" w:cs="Times New Roman"/>
                <w:color w:val="000000"/>
                <w:sz w:val="28"/>
                <w:szCs w:val="28"/>
              </w:rPr>
              <w:t>Исполнено</w:t>
            </w:r>
          </w:p>
        </w:tc>
        <w:tc>
          <w:tcPr>
            <w:tcW w:w="1141" w:type="dxa"/>
            <w:tcBorders>
              <w:bottom w:val="single" w:sz="4" w:space="0" w:color="000000"/>
              <w:right w:val="single" w:sz="4" w:space="0" w:color="000000"/>
            </w:tcBorders>
            <w:shd w:val="clear" w:color="auto" w:fill="FFFFFF"/>
            <w:vAlign w:val="center"/>
          </w:tcPr>
          <w:p w:rsidR="00B52DE3" w:rsidRDefault="00DE73E3">
            <w:pPr>
              <w:widowControl w:val="0"/>
              <w:spacing w:after="0" w:line="240" w:lineRule="auto"/>
              <w:contextualSpacing/>
              <w:jc w:val="center"/>
              <w:rPr>
                <w:rFonts w:ascii="Times New Roman" w:hAnsi="Times New Roman" w:cs="Times New Roman"/>
              </w:rPr>
            </w:pPr>
            <w:r>
              <w:rPr>
                <w:rFonts w:ascii="Times New Roman" w:eastAsia="Times New Roman" w:hAnsi="Times New Roman" w:cs="Times New Roman"/>
                <w:color w:val="000000"/>
                <w:sz w:val="28"/>
                <w:szCs w:val="28"/>
              </w:rPr>
              <w:t xml:space="preserve">Доля в общем объеме </w:t>
            </w:r>
            <w:proofErr w:type="spellStart"/>
            <w:r>
              <w:rPr>
                <w:rFonts w:ascii="Times New Roman" w:eastAsia="Times New Roman" w:hAnsi="Times New Roman" w:cs="Times New Roman"/>
                <w:color w:val="000000"/>
                <w:sz w:val="28"/>
                <w:szCs w:val="28"/>
              </w:rPr>
              <w:t>расхо-дов</w:t>
            </w:r>
            <w:proofErr w:type="spellEnd"/>
            <w:r>
              <w:rPr>
                <w:rFonts w:ascii="Times New Roman" w:eastAsia="Times New Roman" w:hAnsi="Times New Roman" w:cs="Times New Roman"/>
                <w:color w:val="000000"/>
                <w:sz w:val="28"/>
                <w:szCs w:val="28"/>
              </w:rPr>
              <w:t xml:space="preserve"> (%)</w:t>
            </w:r>
          </w:p>
        </w:tc>
        <w:tc>
          <w:tcPr>
            <w:tcW w:w="1560" w:type="dxa"/>
            <w:tcBorders>
              <w:bottom w:val="single" w:sz="4" w:space="0" w:color="000000"/>
              <w:right w:val="single" w:sz="4" w:space="0" w:color="000000"/>
            </w:tcBorders>
            <w:shd w:val="clear" w:color="auto" w:fill="FFFFFF"/>
            <w:vAlign w:val="center"/>
          </w:tcPr>
          <w:p w:rsidR="00B52DE3" w:rsidRDefault="00DE73E3">
            <w:pPr>
              <w:widowControl w:val="0"/>
              <w:spacing w:after="0" w:line="240" w:lineRule="auto"/>
              <w:contextualSpacing/>
              <w:jc w:val="center"/>
              <w:rPr>
                <w:rFonts w:ascii="Times New Roman" w:hAnsi="Times New Roman" w:cs="Times New Roman"/>
              </w:rPr>
            </w:pPr>
            <w:r>
              <w:rPr>
                <w:rFonts w:ascii="Times New Roman" w:eastAsia="Times New Roman" w:hAnsi="Times New Roman" w:cs="Times New Roman"/>
                <w:color w:val="000000"/>
                <w:sz w:val="28"/>
                <w:szCs w:val="28"/>
              </w:rPr>
              <w:t>Исполнено</w:t>
            </w:r>
          </w:p>
        </w:tc>
        <w:tc>
          <w:tcPr>
            <w:tcW w:w="1071" w:type="dxa"/>
            <w:tcBorders>
              <w:bottom w:val="single" w:sz="4" w:space="0" w:color="000000"/>
              <w:right w:val="single" w:sz="4" w:space="0" w:color="000000"/>
            </w:tcBorders>
            <w:shd w:val="clear" w:color="auto" w:fill="FFFFFF"/>
            <w:vAlign w:val="center"/>
          </w:tcPr>
          <w:p w:rsidR="00B52DE3" w:rsidRDefault="00DE73E3">
            <w:pPr>
              <w:widowControl w:val="0"/>
              <w:spacing w:after="0" w:line="240" w:lineRule="auto"/>
              <w:contextualSpacing/>
              <w:jc w:val="center"/>
              <w:rPr>
                <w:rFonts w:ascii="Times New Roman" w:hAnsi="Times New Roman" w:cs="Times New Roman"/>
              </w:rPr>
            </w:pPr>
            <w:r>
              <w:rPr>
                <w:rFonts w:ascii="Times New Roman" w:eastAsia="Times New Roman" w:hAnsi="Times New Roman" w:cs="Times New Roman"/>
                <w:color w:val="000000"/>
                <w:sz w:val="28"/>
                <w:szCs w:val="28"/>
              </w:rPr>
              <w:t xml:space="preserve">Доля в общем объеме </w:t>
            </w:r>
            <w:proofErr w:type="spellStart"/>
            <w:r>
              <w:rPr>
                <w:rFonts w:ascii="Times New Roman" w:eastAsia="Times New Roman" w:hAnsi="Times New Roman" w:cs="Times New Roman"/>
                <w:color w:val="000000"/>
                <w:sz w:val="28"/>
                <w:szCs w:val="28"/>
              </w:rPr>
              <w:t>расхо-дов</w:t>
            </w:r>
            <w:proofErr w:type="spellEnd"/>
            <w:r>
              <w:rPr>
                <w:rFonts w:ascii="Times New Roman" w:eastAsia="Times New Roman" w:hAnsi="Times New Roman" w:cs="Times New Roman"/>
                <w:color w:val="000000"/>
                <w:sz w:val="28"/>
                <w:szCs w:val="28"/>
              </w:rPr>
              <w:t xml:space="preserve"> (%)</w:t>
            </w:r>
          </w:p>
        </w:tc>
        <w:tc>
          <w:tcPr>
            <w:tcW w:w="1338" w:type="dxa"/>
            <w:vMerge/>
            <w:tcBorders>
              <w:top w:val="single" w:sz="4" w:space="0" w:color="000000"/>
              <w:bottom w:val="single" w:sz="4" w:space="0" w:color="000000"/>
              <w:right w:val="single" w:sz="4" w:space="0" w:color="000000"/>
            </w:tcBorders>
            <w:shd w:val="clear" w:color="auto" w:fill="FFFFFF"/>
          </w:tcPr>
          <w:p w:rsidR="00B52DE3" w:rsidRDefault="00B52DE3"/>
        </w:tc>
      </w:tr>
      <w:tr w:rsidR="00B52DE3">
        <w:trPr>
          <w:trHeight w:val="255"/>
        </w:trPr>
        <w:tc>
          <w:tcPr>
            <w:tcW w:w="2972" w:type="dxa"/>
            <w:tcBorders>
              <w:left w:val="single" w:sz="4" w:space="0" w:color="000000"/>
              <w:bottom w:val="single" w:sz="4" w:space="0" w:color="000000"/>
              <w:right w:val="single" w:sz="4" w:space="0" w:color="000000"/>
            </w:tcBorders>
            <w:shd w:val="clear" w:color="auto" w:fill="FFFFFF"/>
            <w:vAlign w:val="bottom"/>
          </w:tcPr>
          <w:p w:rsidR="00B52DE3" w:rsidRDefault="00DE73E3">
            <w:pPr>
              <w:widowControl w:val="0"/>
              <w:spacing w:after="0" w:line="240" w:lineRule="auto"/>
              <w:contextualSpacing/>
              <w:rPr>
                <w:rFonts w:ascii="Times New Roman" w:hAnsi="Times New Roman" w:cs="Times New Roman"/>
              </w:rPr>
            </w:pPr>
            <w:r>
              <w:rPr>
                <w:rFonts w:ascii="Times New Roman" w:eastAsia="Times New Roman" w:hAnsi="Times New Roman" w:cs="Times New Roman"/>
                <w:color w:val="000000"/>
                <w:sz w:val="28"/>
                <w:szCs w:val="28"/>
              </w:rPr>
              <w:t>Образование</w:t>
            </w:r>
          </w:p>
        </w:tc>
        <w:tc>
          <w:tcPr>
            <w:tcW w:w="1557"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4 553,69</w:t>
            </w:r>
          </w:p>
        </w:tc>
        <w:tc>
          <w:tcPr>
            <w:tcW w:w="114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49,2</w:t>
            </w:r>
          </w:p>
        </w:tc>
        <w:tc>
          <w:tcPr>
            <w:tcW w:w="1560"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6 027,25</w:t>
            </w:r>
          </w:p>
        </w:tc>
        <w:tc>
          <w:tcPr>
            <w:tcW w:w="1071" w:type="dxa"/>
            <w:tcBorders>
              <w:top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54,8</w:t>
            </w:r>
          </w:p>
        </w:tc>
        <w:tc>
          <w:tcPr>
            <w:tcW w:w="1338" w:type="dxa"/>
            <w:tcBorders>
              <w:top w:val="single" w:sz="4" w:space="0" w:color="000000"/>
              <w:bottom w:val="single" w:sz="4" w:space="0" w:color="000000"/>
              <w:right w:val="single" w:sz="4" w:space="0" w:color="000000"/>
            </w:tcBorders>
            <w:shd w:val="clear" w:color="auto" w:fill="FFFFFF"/>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132,3</w:t>
            </w:r>
          </w:p>
        </w:tc>
      </w:tr>
      <w:tr w:rsidR="00B52DE3">
        <w:trPr>
          <w:trHeight w:val="378"/>
        </w:trPr>
        <w:tc>
          <w:tcPr>
            <w:tcW w:w="2972" w:type="dxa"/>
            <w:tcBorders>
              <w:left w:val="single" w:sz="4" w:space="0" w:color="000000"/>
              <w:bottom w:val="single" w:sz="4" w:space="0" w:color="000000"/>
              <w:right w:val="single" w:sz="4" w:space="0" w:color="000000"/>
            </w:tcBorders>
            <w:shd w:val="clear" w:color="auto" w:fill="FFFFFF"/>
            <w:vAlign w:val="bottom"/>
          </w:tcPr>
          <w:p w:rsidR="00B52DE3" w:rsidRDefault="00DE73E3">
            <w:pPr>
              <w:widowControl w:val="0"/>
              <w:spacing w:after="0" w:line="240" w:lineRule="auto"/>
              <w:contextualSpacing/>
              <w:rPr>
                <w:rFonts w:ascii="Times New Roman" w:hAnsi="Times New Roman" w:cs="Times New Roman"/>
              </w:rPr>
            </w:pPr>
            <w:r>
              <w:rPr>
                <w:rFonts w:ascii="Times New Roman" w:eastAsia="Times New Roman" w:hAnsi="Times New Roman" w:cs="Times New Roman"/>
                <w:color w:val="000000"/>
                <w:sz w:val="28"/>
                <w:szCs w:val="28"/>
              </w:rPr>
              <w:t>Культура</w:t>
            </w:r>
          </w:p>
        </w:tc>
        <w:tc>
          <w:tcPr>
            <w:tcW w:w="1557"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580,98</w:t>
            </w:r>
          </w:p>
        </w:tc>
        <w:tc>
          <w:tcPr>
            <w:tcW w:w="114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6,3</w:t>
            </w:r>
          </w:p>
        </w:tc>
        <w:tc>
          <w:tcPr>
            <w:tcW w:w="1560"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630,69</w:t>
            </w:r>
          </w:p>
        </w:tc>
        <w:tc>
          <w:tcPr>
            <w:tcW w:w="107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5,8</w:t>
            </w:r>
          </w:p>
        </w:tc>
        <w:tc>
          <w:tcPr>
            <w:tcW w:w="1338" w:type="dxa"/>
            <w:tcBorders>
              <w:bottom w:val="single" w:sz="4" w:space="0" w:color="000000"/>
              <w:right w:val="single" w:sz="4" w:space="0" w:color="000000"/>
            </w:tcBorders>
            <w:shd w:val="clear" w:color="auto" w:fill="FFFFFF"/>
            <w:vAlign w:val="center"/>
          </w:tcPr>
          <w:p w:rsidR="00B52DE3" w:rsidRDefault="00DE73E3">
            <w:pPr>
              <w:spacing w:after="0"/>
              <w:jc w:val="center"/>
              <w:rPr>
                <w:rFonts w:ascii="Times New Roman" w:hAnsi="Times New Roman" w:cs="Times New Roman"/>
              </w:rPr>
            </w:pPr>
            <w:r>
              <w:rPr>
                <w:rFonts w:ascii="Times New Roman" w:eastAsia="Times New Roman" w:hAnsi="Times New Roman" w:cs="Times New Roman"/>
                <w:sz w:val="28"/>
                <w:szCs w:val="28"/>
              </w:rPr>
              <w:t>108,5</w:t>
            </w:r>
          </w:p>
        </w:tc>
      </w:tr>
      <w:tr w:rsidR="00B52DE3">
        <w:trPr>
          <w:trHeight w:val="255"/>
        </w:trPr>
        <w:tc>
          <w:tcPr>
            <w:tcW w:w="2972" w:type="dxa"/>
            <w:tcBorders>
              <w:left w:val="single" w:sz="4" w:space="0" w:color="000000"/>
              <w:bottom w:val="single" w:sz="4" w:space="0" w:color="000000"/>
              <w:right w:val="single" w:sz="4" w:space="0" w:color="000000"/>
            </w:tcBorders>
            <w:shd w:val="clear" w:color="auto" w:fill="FFFFFF"/>
            <w:vAlign w:val="bottom"/>
          </w:tcPr>
          <w:p w:rsidR="00B52DE3" w:rsidRDefault="00DE73E3">
            <w:pPr>
              <w:widowControl w:val="0"/>
              <w:spacing w:after="0" w:line="240" w:lineRule="auto"/>
              <w:contextualSpacing/>
              <w:rPr>
                <w:rFonts w:ascii="Times New Roman" w:hAnsi="Times New Roman" w:cs="Times New Roman"/>
              </w:rPr>
            </w:pPr>
            <w:r>
              <w:rPr>
                <w:rFonts w:ascii="Times New Roman" w:eastAsia="Times New Roman" w:hAnsi="Times New Roman" w:cs="Times New Roman"/>
                <w:color w:val="000000"/>
                <w:sz w:val="28"/>
                <w:szCs w:val="28"/>
              </w:rPr>
              <w:t>Физическая культура и спорт</w:t>
            </w:r>
          </w:p>
        </w:tc>
        <w:tc>
          <w:tcPr>
            <w:tcW w:w="1557"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339,65</w:t>
            </w:r>
          </w:p>
        </w:tc>
        <w:tc>
          <w:tcPr>
            <w:tcW w:w="114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3,7</w:t>
            </w:r>
          </w:p>
        </w:tc>
        <w:tc>
          <w:tcPr>
            <w:tcW w:w="1560"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320,66</w:t>
            </w:r>
          </w:p>
        </w:tc>
        <w:tc>
          <w:tcPr>
            <w:tcW w:w="107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2,9</w:t>
            </w:r>
          </w:p>
        </w:tc>
        <w:tc>
          <w:tcPr>
            <w:tcW w:w="1338" w:type="dxa"/>
            <w:tcBorders>
              <w:bottom w:val="single" w:sz="4" w:space="0" w:color="000000"/>
              <w:right w:val="single" w:sz="4" w:space="0" w:color="000000"/>
            </w:tcBorders>
            <w:shd w:val="clear" w:color="auto" w:fill="FFFFFF"/>
            <w:vAlign w:val="center"/>
          </w:tcPr>
          <w:p w:rsidR="00B52DE3" w:rsidRDefault="00DE73E3">
            <w:pPr>
              <w:spacing w:after="0"/>
              <w:jc w:val="center"/>
              <w:rPr>
                <w:rFonts w:ascii="Times New Roman" w:hAnsi="Times New Roman" w:cs="Times New Roman"/>
              </w:rPr>
            </w:pPr>
            <w:r>
              <w:rPr>
                <w:rFonts w:ascii="Times New Roman" w:eastAsia="Times New Roman" w:hAnsi="Times New Roman" w:cs="Times New Roman"/>
                <w:sz w:val="28"/>
                <w:szCs w:val="28"/>
              </w:rPr>
              <w:t>94,4</w:t>
            </w:r>
          </w:p>
        </w:tc>
      </w:tr>
      <w:tr w:rsidR="00B52DE3">
        <w:trPr>
          <w:trHeight w:val="255"/>
        </w:trPr>
        <w:tc>
          <w:tcPr>
            <w:tcW w:w="2972" w:type="dxa"/>
            <w:tcBorders>
              <w:left w:val="single" w:sz="4" w:space="0" w:color="000000"/>
              <w:bottom w:val="single" w:sz="4" w:space="0" w:color="000000"/>
              <w:right w:val="single" w:sz="4" w:space="0" w:color="000000"/>
            </w:tcBorders>
            <w:shd w:val="clear" w:color="auto" w:fill="FFFFFF"/>
            <w:vAlign w:val="bottom"/>
          </w:tcPr>
          <w:p w:rsidR="00B52DE3" w:rsidRDefault="00DE73E3">
            <w:pPr>
              <w:widowControl w:val="0"/>
              <w:spacing w:after="0" w:line="240" w:lineRule="auto"/>
              <w:contextualSpacing/>
              <w:rPr>
                <w:rFonts w:ascii="Times New Roman" w:hAnsi="Times New Roman" w:cs="Times New Roman"/>
              </w:rPr>
            </w:pPr>
            <w:r>
              <w:rPr>
                <w:rFonts w:ascii="Times New Roman" w:eastAsia="Times New Roman" w:hAnsi="Times New Roman" w:cs="Times New Roman"/>
                <w:color w:val="000000"/>
                <w:sz w:val="28"/>
                <w:szCs w:val="28"/>
              </w:rPr>
              <w:t>Социальная политика</w:t>
            </w:r>
          </w:p>
        </w:tc>
        <w:tc>
          <w:tcPr>
            <w:tcW w:w="1557"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374,67</w:t>
            </w:r>
          </w:p>
        </w:tc>
        <w:tc>
          <w:tcPr>
            <w:tcW w:w="114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4,0</w:t>
            </w:r>
          </w:p>
        </w:tc>
        <w:tc>
          <w:tcPr>
            <w:tcW w:w="1560"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415,96</w:t>
            </w:r>
          </w:p>
        </w:tc>
        <w:tc>
          <w:tcPr>
            <w:tcW w:w="107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3,8</w:t>
            </w:r>
          </w:p>
        </w:tc>
        <w:tc>
          <w:tcPr>
            <w:tcW w:w="1338" w:type="dxa"/>
            <w:tcBorders>
              <w:bottom w:val="single" w:sz="4" w:space="0" w:color="000000"/>
              <w:right w:val="single" w:sz="4" w:space="0" w:color="000000"/>
            </w:tcBorders>
            <w:shd w:val="clear" w:color="auto" w:fill="FFFFFF"/>
            <w:vAlign w:val="center"/>
          </w:tcPr>
          <w:p w:rsidR="00B52DE3" w:rsidRDefault="00DE73E3">
            <w:pPr>
              <w:spacing w:after="0"/>
              <w:jc w:val="center"/>
              <w:rPr>
                <w:rFonts w:ascii="Times New Roman" w:hAnsi="Times New Roman" w:cs="Times New Roman"/>
              </w:rPr>
            </w:pPr>
            <w:r>
              <w:rPr>
                <w:rFonts w:ascii="Times New Roman" w:eastAsia="Times New Roman" w:hAnsi="Times New Roman" w:cs="Times New Roman"/>
                <w:sz w:val="28"/>
                <w:szCs w:val="28"/>
              </w:rPr>
              <w:t>111,0</w:t>
            </w:r>
          </w:p>
        </w:tc>
      </w:tr>
      <w:tr w:rsidR="00B52DE3">
        <w:trPr>
          <w:trHeight w:val="350"/>
        </w:trPr>
        <w:tc>
          <w:tcPr>
            <w:tcW w:w="2972" w:type="dxa"/>
            <w:tcBorders>
              <w:left w:val="single" w:sz="4" w:space="0" w:color="000000"/>
              <w:bottom w:val="single" w:sz="4" w:space="0" w:color="000000"/>
              <w:right w:val="single" w:sz="4" w:space="0" w:color="000000"/>
            </w:tcBorders>
            <w:shd w:val="clear" w:color="auto" w:fill="FFFFFF"/>
            <w:vAlign w:val="bottom"/>
          </w:tcPr>
          <w:p w:rsidR="00B52DE3" w:rsidRDefault="00DE73E3">
            <w:pPr>
              <w:widowControl w:val="0"/>
              <w:spacing w:after="0" w:line="240" w:lineRule="auto"/>
              <w:contextualSpacing/>
              <w:rPr>
                <w:rFonts w:ascii="Times New Roman" w:hAnsi="Times New Roman" w:cs="Times New Roman"/>
              </w:rPr>
            </w:pPr>
            <w:r>
              <w:rPr>
                <w:rFonts w:ascii="Times New Roman" w:eastAsia="Times New Roman" w:hAnsi="Times New Roman" w:cs="Times New Roman"/>
                <w:color w:val="000000"/>
                <w:sz w:val="28"/>
                <w:szCs w:val="28"/>
              </w:rPr>
              <w:t>ЖКХ, дорожное хозяйство</w:t>
            </w:r>
          </w:p>
        </w:tc>
        <w:tc>
          <w:tcPr>
            <w:tcW w:w="1557"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2 061,90</w:t>
            </w:r>
          </w:p>
        </w:tc>
        <w:tc>
          <w:tcPr>
            <w:tcW w:w="114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22,3</w:t>
            </w:r>
          </w:p>
        </w:tc>
        <w:tc>
          <w:tcPr>
            <w:tcW w:w="1560"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2 073,85</w:t>
            </w:r>
          </w:p>
        </w:tc>
        <w:tc>
          <w:tcPr>
            <w:tcW w:w="107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18,9</w:t>
            </w:r>
          </w:p>
        </w:tc>
        <w:tc>
          <w:tcPr>
            <w:tcW w:w="1338" w:type="dxa"/>
            <w:tcBorders>
              <w:bottom w:val="single" w:sz="4" w:space="0" w:color="000000"/>
              <w:right w:val="single" w:sz="4" w:space="0" w:color="000000"/>
            </w:tcBorders>
            <w:shd w:val="clear" w:color="auto" w:fill="FFFFFF"/>
            <w:vAlign w:val="center"/>
          </w:tcPr>
          <w:p w:rsidR="00B52DE3" w:rsidRDefault="00DE73E3">
            <w:pPr>
              <w:spacing w:after="0"/>
              <w:jc w:val="center"/>
              <w:rPr>
                <w:rFonts w:ascii="Times New Roman" w:hAnsi="Times New Roman" w:cs="Times New Roman"/>
              </w:rPr>
            </w:pPr>
            <w:r>
              <w:rPr>
                <w:rFonts w:ascii="Times New Roman" w:eastAsia="Times New Roman" w:hAnsi="Times New Roman" w:cs="Times New Roman"/>
                <w:sz w:val="28"/>
                <w:szCs w:val="28"/>
              </w:rPr>
              <w:t>100,6</w:t>
            </w:r>
          </w:p>
        </w:tc>
      </w:tr>
      <w:tr w:rsidR="00B52DE3">
        <w:trPr>
          <w:trHeight w:val="255"/>
        </w:trPr>
        <w:tc>
          <w:tcPr>
            <w:tcW w:w="2972" w:type="dxa"/>
            <w:tcBorders>
              <w:left w:val="single" w:sz="4" w:space="0" w:color="000000"/>
              <w:bottom w:val="single" w:sz="4" w:space="0" w:color="000000"/>
              <w:right w:val="single" w:sz="4" w:space="0" w:color="000000"/>
            </w:tcBorders>
            <w:shd w:val="clear" w:color="auto" w:fill="FFFFFF"/>
            <w:vAlign w:val="bottom"/>
          </w:tcPr>
          <w:p w:rsidR="00B52DE3" w:rsidRDefault="00DE73E3">
            <w:pPr>
              <w:widowControl w:val="0"/>
              <w:spacing w:after="0" w:line="240" w:lineRule="auto"/>
              <w:contextualSpacing/>
              <w:rPr>
                <w:rFonts w:ascii="Times New Roman" w:hAnsi="Times New Roman" w:cs="Times New Roman"/>
              </w:rPr>
            </w:pPr>
            <w:r>
              <w:rPr>
                <w:rFonts w:ascii="Times New Roman" w:eastAsia="Times New Roman" w:hAnsi="Times New Roman" w:cs="Times New Roman"/>
                <w:color w:val="000000"/>
                <w:sz w:val="28"/>
                <w:szCs w:val="28"/>
              </w:rPr>
              <w:t>Прочие расходы</w:t>
            </w:r>
          </w:p>
        </w:tc>
        <w:tc>
          <w:tcPr>
            <w:tcW w:w="1557"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1 342,82</w:t>
            </w:r>
          </w:p>
        </w:tc>
        <w:tc>
          <w:tcPr>
            <w:tcW w:w="114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14,5</w:t>
            </w:r>
          </w:p>
        </w:tc>
        <w:tc>
          <w:tcPr>
            <w:tcW w:w="1560"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1 521,84</w:t>
            </w:r>
          </w:p>
        </w:tc>
        <w:tc>
          <w:tcPr>
            <w:tcW w:w="1071" w:type="dxa"/>
            <w:tcBorders>
              <w:bottom w:val="single" w:sz="4" w:space="0" w:color="000000"/>
              <w:right w:val="single" w:sz="4" w:space="0" w:color="000000"/>
            </w:tcBorders>
            <w:shd w:val="clear" w:color="auto" w:fill="FFFFFF"/>
            <w:vAlign w:val="center"/>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color w:val="000000"/>
                <w:sz w:val="28"/>
                <w:szCs w:val="28"/>
              </w:rPr>
              <w:t>13,8</w:t>
            </w:r>
          </w:p>
        </w:tc>
        <w:tc>
          <w:tcPr>
            <w:tcW w:w="1338" w:type="dxa"/>
            <w:tcBorders>
              <w:bottom w:val="single" w:sz="4" w:space="0" w:color="000000"/>
              <w:right w:val="single" w:sz="4" w:space="0" w:color="000000"/>
            </w:tcBorders>
            <w:shd w:val="clear" w:color="auto" w:fill="FFFFFF"/>
            <w:vAlign w:val="center"/>
          </w:tcPr>
          <w:p w:rsidR="00B52DE3" w:rsidRDefault="00DE73E3">
            <w:pPr>
              <w:spacing w:after="0"/>
              <w:jc w:val="center"/>
              <w:rPr>
                <w:rFonts w:ascii="Times New Roman" w:hAnsi="Times New Roman" w:cs="Times New Roman"/>
              </w:rPr>
            </w:pPr>
            <w:r>
              <w:rPr>
                <w:rFonts w:ascii="Times New Roman" w:eastAsia="Times New Roman" w:hAnsi="Times New Roman" w:cs="Times New Roman"/>
                <w:sz w:val="28"/>
                <w:szCs w:val="28"/>
              </w:rPr>
              <w:t>113,3</w:t>
            </w:r>
          </w:p>
        </w:tc>
      </w:tr>
      <w:tr w:rsidR="00B52DE3">
        <w:trPr>
          <w:trHeight w:val="255"/>
        </w:trPr>
        <w:tc>
          <w:tcPr>
            <w:tcW w:w="2972" w:type="dxa"/>
            <w:tcBorders>
              <w:left w:val="single" w:sz="4" w:space="0" w:color="000000"/>
              <w:bottom w:val="single" w:sz="4" w:space="0" w:color="000000"/>
              <w:right w:val="single" w:sz="4" w:space="0" w:color="000000"/>
            </w:tcBorders>
            <w:shd w:val="clear" w:color="auto" w:fill="FFFFFF"/>
            <w:vAlign w:val="bottom"/>
          </w:tcPr>
          <w:p w:rsidR="00B52DE3" w:rsidRDefault="00DE73E3">
            <w:pPr>
              <w:widowControl w:val="0"/>
              <w:spacing w:after="0"/>
              <w:contextualSpacing/>
              <w:rPr>
                <w:rFonts w:ascii="Times New Roman" w:hAnsi="Times New Roman" w:cs="Times New Roman"/>
              </w:rPr>
            </w:pPr>
            <w:r>
              <w:rPr>
                <w:rFonts w:ascii="Times New Roman" w:eastAsia="Times New Roman" w:hAnsi="Times New Roman" w:cs="Times New Roman"/>
                <w:b/>
                <w:bCs/>
                <w:color w:val="000000"/>
                <w:sz w:val="28"/>
                <w:szCs w:val="28"/>
              </w:rPr>
              <w:t>ИТОГО расходов</w:t>
            </w:r>
          </w:p>
        </w:tc>
        <w:tc>
          <w:tcPr>
            <w:tcW w:w="1557" w:type="dxa"/>
            <w:tcBorders>
              <w:bottom w:val="single" w:sz="4" w:space="0" w:color="000000"/>
              <w:right w:val="single" w:sz="4" w:space="0" w:color="000000"/>
            </w:tcBorders>
            <w:shd w:val="clear" w:color="auto" w:fill="FFFFFF"/>
            <w:vAlign w:val="bottom"/>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b/>
                <w:bCs/>
                <w:color w:val="000000"/>
                <w:sz w:val="28"/>
                <w:szCs w:val="28"/>
              </w:rPr>
              <w:t>9 253,71</w:t>
            </w:r>
          </w:p>
        </w:tc>
        <w:tc>
          <w:tcPr>
            <w:tcW w:w="1141" w:type="dxa"/>
            <w:tcBorders>
              <w:bottom w:val="single" w:sz="4" w:space="0" w:color="000000"/>
              <w:right w:val="single" w:sz="4" w:space="0" w:color="000000"/>
            </w:tcBorders>
            <w:shd w:val="clear" w:color="auto" w:fill="FFFFFF"/>
            <w:vAlign w:val="bottom"/>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b/>
                <w:bCs/>
                <w:color w:val="000000"/>
                <w:sz w:val="28"/>
                <w:szCs w:val="28"/>
              </w:rPr>
              <w:t>100,0</w:t>
            </w:r>
          </w:p>
        </w:tc>
        <w:tc>
          <w:tcPr>
            <w:tcW w:w="1560" w:type="dxa"/>
            <w:tcBorders>
              <w:bottom w:val="single" w:sz="4" w:space="0" w:color="000000"/>
              <w:right w:val="single" w:sz="4" w:space="0" w:color="000000"/>
            </w:tcBorders>
            <w:shd w:val="clear" w:color="auto" w:fill="FFFFFF"/>
            <w:vAlign w:val="bottom"/>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b/>
                <w:bCs/>
                <w:sz w:val="28"/>
                <w:szCs w:val="28"/>
              </w:rPr>
              <w:t>10 990,25</w:t>
            </w:r>
          </w:p>
        </w:tc>
        <w:tc>
          <w:tcPr>
            <w:tcW w:w="1071" w:type="dxa"/>
            <w:tcBorders>
              <w:bottom w:val="single" w:sz="4" w:space="0" w:color="000000"/>
              <w:right w:val="single" w:sz="4" w:space="0" w:color="000000"/>
            </w:tcBorders>
            <w:shd w:val="clear" w:color="auto" w:fill="FFFFFF"/>
            <w:vAlign w:val="bottom"/>
          </w:tcPr>
          <w:p w:rsidR="00B52DE3" w:rsidRDefault="00DE73E3">
            <w:pPr>
              <w:widowControl w:val="0"/>
              <w:spacing w:after="0"/>
              <w:contextualSpacing/>
              <w:jc w:val="center"/>
              <w:rPr>
                <w:rFonts w:ascii="Times New Roman" w:hAnsi="Times New Roman" w:cs="Times New Roman"/>
              </w:rPr>
            </w:pPr>
            <w:r>
              <w:rPr>
                <w:rFonts w:ascii="Times New Roman" w:eastAsia="Times New Roman" w:hAnsi="Times New Roman" w:cs="Times New Roman"/>
                <w:b/>
                <w:bCs/>
                <w:color w:val="000000"/>
                <w:sz w:val="28"/>
                <w:szCs w:val="28"/>
              </w:rPr>
              <w:t>100,0</w:t>
            </w:r>
          </w:p>
        </w:tc>
        <w:tc>
          <w:tcPr>
            <w:tcW w:w="1338" w:type="dxa"/>
            <w:tcBorders>
              <w:bottom w:val="single" w:sz="4" w:space="0" w:color="000000"/>
              <w:right w:val="single" w:sz="4" w:space="0" w:color="000000"/>
            </w:tcBorders>
            <w:shd w:val="clear" w:color="auto" w:fill="FFFFFF"/>
            <w:vAlign w:val="center"/>
          </w:tcPr>
          <w:p w:rsidR="00B52DE3" w:rsidRDefault="00DE73E3">
            <w:pPr>
              <w:spacing w:after="0"/>
              <w:jc w:val="center"/>
              <w:rPr>
                <w:rFonts w:ascii="Times New Roman" w:hAnsi="Times New Roman" w:cs="Times New Roman"/>
              </w:rPr>
            </w:pPr>
            <w:r>
              <w:rPr>
                <w:rFonts w:ascii="Times New Roman" w:eastAsia="Times New Roman" w:hAnsi="Times New Roman" w:cs="Times New Roman"/>
                <w:b/>
                <w:bCs/>
                <w:sz w:val="28"/>
                <w:szCs w:val="28"/>
              </w:rPr>
              <w:t>118,8</w:t>
            </w:r>
          </w:p>
        </w:tc>
      </w:tr>
    </w:tbl>
    <w:p w:rsidR="00B52DE3" w:rsidRDefault="00DE73E3">
      <w:pPr>
        <w:widowControl w:val="0"/>
        <w:spacing w:after="75" w:line="360" w:lineRule="auto"/>
        <w:ind w:firstLine="709"/>
        <w:contextualSpacing/>
        <w:jc w:val="both"/>
        <w:outlineLvl w:val="1"/>
        <w:rPr>
          <w:rFonts w:ascii="Times New Roman" w:eastAsia="Times New Roman" w:hAnsi="Times New Roman" w:cs="Times New Roman"/>
          <w:sz w:val="28"/>
          <w:szCs w:val="28"/>
        </w:rPr>
      </w:pPr>
      <w:bookmarkStart w:id="11" w:name="_Toc12"/>
      <w:r>
        <w:rPr>
          <w:rFonts w:ascii="Times New Roman" w:eastAsia="Times New Roman" w:hAnsi="Times New Roman" w:cs="Times New Roman"/>
          <w:sz w:val="28"/>
          <w:szCs w:val="28"/>
        </w:rPr>
        <w:lastRenderedPageBreak/>
        <w:t>Структура расходной части бюджета, как и в предыдущие годы, являлась социально-направленной. На социально-культурную сферу                            в 2025 году направлено 67,3% расходов бюджета. Значимыми направлениями расходования средств бюджета Уссурийского городского округа Приморского края за отчетный период также являлись жилищно-коммунальное хозяйство и дорожная деятельность (18,9 % от общей суммы расходов).</w:t>
      </w:r>
      <w:bookmarkEnd w:id="11"/>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sz w:val="28"/>
          <w:szCs w:val="28"/>
        </w:rPr>
        <w:t xml:space="preserve">Объем расходов бюджета по сравнению с 2024 годом увеличился </w:t>
      </w:r>
      <w:r>
        <w:rPr>
          <w:rFonts w:ascii="Times New Roman" w:eastAsia="Times New Roman" w:hAnsi="Times New Roman" w:cs="Times New Roman"/>
          <w:sz w:val="28"/>
          <w:szCs w:val="28"/>
        </w:rPr>
        <w:br/>
        <w:t xml:space="preserve">на 18,8% или на 1 736,54 млн. рублей </w:t>
      </w:r>
      <w:r>
        <w:rPr>
          <w:rFonts w:ascii="Times New Roman" w:eastAsia="Times New Roman" w:hAnsi="Times New Roman" w:cs="Times New Roman"/>
          <w:color w:val="000000"/>
          <w:sz w:val="28"/>
        </w:rPr>
        <w:t xml:space="preserve">за счет увеличения ассигнований по разделам: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rPr>
        <w:t>Национальная оборона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rPr>
        <w:t>Национальная экономика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rPr>
        <w:t>Образование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rPr>
        <w:t>.</w:t>
      </w:r>
    </w:p>
    <w:p w:rsidR="00B52DE3" w:rsidRDefault="00DE73E3">
      <w:pPr>
        <w:widowControl w:val="0"/>
        <w:spacing w:after="0" w:line="360" w:lineRule="auto"/>
        <w:ind w:firstLine="709"/>
        <w:contextualSpacing/>
        <w:jc w:val="both"/>
        <w:outlineLvl w:val="1"/>
        <w:rPr>
          <w:rFonts w:ascii="Times New Roman" w:hAnsi="Times New Roman" w:cs="Times New Roman"/>
        </w:rPr>
      </w:pPr>
      <w:bookmarkStart w:id="12" w:name="_Toc13"/>
      <w:r>
        <w:rPr>
          <w:rFonts w:ascii="Times New Roman" w:eastAsia="Times New Roman" w:hAnsi="Times New Roman" w:cs="Times New Roman"/>
          <w:sz w:val="28"/>
          <w:szCs w:val="28"/>
        </w:rPr>
        <w:t xml:space="preserve">Бюджетные ассигнования в приоритетном порядке направлялись на решение таких вопросов, как безусловное выполнение всех социальных обязательств, своевременную выплату заработной платы, увеличение оплаты труда отдельным категориям работников, с учетом установленных отраслевыми «дорожными» картами показателей, иных публичных нормативных обязательств, оплату расходов на коммунальные услуги,  содержание муниципального имущества, выполнение </w:t>
      </w:r>
      <w:r>
        <w:rPr>
          <w:rFonts w:ascii="Times New Roman" w:eastAsia="Times New Roman" w:hAnsi="Times New Roman" w:cs="Times New Roman"/>
          <w:color w:val="000000"/>
          <w:sz w:val="28"/>
          <w:szCs w:val="28"/>
        </w:rPr>
        <w:t xml:space="preserve">целей, определенных </w:t>
      </w:r>
      <w:r>
        <w:rPr>
          <w:rFonts w:ascii="Times New Roman" w:eastAsia="Times New Roman" w:hAnsi="Times New Roman" w:cs="Times New Roman"/>
          <w:color w:val="000000"/>
          <w:sz w:val="28"/>
          <w:szCs w:val="28"/>
        </w:rPr>
        <w:br/>
        <w:t xml:space="preserve">в Указе Президента Российской Федерации </w:t>
      </w:r>
      <w:r>
        <w:rPr>
          <w:rFonts w:ascii="Times New Roman" w:eastAsia="Times New Roman" w:hAnsi="Times New Roman" w:cs="Times New Roman"/>
          <w:color w:val="000000"/>
          <w:sz w:val="28"/>
        </w:rPr>
        <w:t xml:space="preserve">от 07 мая 2024 года № 309 </w:t>
      </w:r>
      <w:r>
        <w:rPr>
          <w:rFonts w:ascii="Times New Roman" w:eastAsia="Times New Roman" w:hAnsi="Times New Roman" w:cs="Times New Roman"/>
          <w:color w:val="000000"/>
          <w:sz w:val="28"/>
          <w:szCs w:val="28"/>
        </w:rPr>
        <w:br/>
        <w:t>«</w:t>
      </w:r>
      <w:r>
        <w:rPr>
          <w:rFonts w:ascii="Times New Roman" w:eastAsia="Times New Roman" w:hAnsi="Times New Roman" w:cs="Times New Roman"/>
          <w:color w:val="000000"/>
          <w:sz w:val="28"/>
        </w:rPr>
        <w:t>О национальных целях развития Российской Федерации на период                        до 2030 года и на перспективу до 2036 года</w:t>
      </w:r>
      <w:r>
        <w:rPr>
          <w:rFonts w:ascii="Times New Roman" w:eastAsia="Times New Roman" w:hAnsi="Times New Roman" w:cs="Times New Roman"/>
          <w:color w:val="000000"/>
          <w:sz w:val="28"/>
          <w:szCs w:val="28"/>
        </w:rPr>
        <w:t>», Указе Президента Российской Федерации от 21 июля 2020 года № 474 «О национальных целях развития Российской Федерации на период до 2030 года», выполнение мероприятий долгосрочного плана комплексного социально-экономического развития Уссурийского городского округа Приморского края на период до 2030 года.</w:t>
      </w:r>
      <w:bookmarkEnd w:id="12"/>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Для обеспечения сбалансированности бюджета Уссурийского</w:t>
      </w:r>
      <w:r>
        <w:rPr>
          <w:rFonts w:ascii="Times New Roman" w:eastAsia="Times New Roman" w:hAnsi="Times New Roman" w:cs="Times New Roman"/>
        </w:rPr>
        <w:t xml:space="preserve"> </w:t>
      </w:r>
      <w:r>
        <w:rPr>
          <w:rFonts w:ascii="Times New Roman" w:eastAsia="Times New Roman" w:hAnsi="Times New Roman" w:cs="Times New Roman"/>
          <w:sz w:val="28"/>
          <w:szCs w:val="28"/>
        </w:rPr>
        <w:t>городского округа Приморского края проводилась работа по выполнению</w:t>
      </w:r>
      <w:r>
        <w:rPr>
          <w:rFonts w:ascii="Times New Roman" w:eastAsia="Times New Roman" w:hAnsi="Times New Roman" w:cs="Times New Roman"/>
        </w:rPr>
        <w:t xml:space="preserve"> </w:t>
      </w:r>
      <w:r>
        <w:rPr>
          <w:rFonts w:ascii="Times New Roman" w:eastAsia="Times New Roman" w:hAnsi="Times New Roman" w:cs="Times New Roman"/>
          <w:sz w:val="28"/>
          <w:szCs w:val="28"/>
        </w:rPr>
        <w:t>Плана мероприятий по оптимизации расходов, за счет имеющихся резервов.</w:t>
      </w:r>
    </w:p>
    <w:p w:rsidR="00B52DE3" w:rsidRDefault="00DE73E3">
      <w:pPr>
        <w:widowControl w:val="0"/>
        <w:tabs>
          <w:tab w:val="left" w:pos="709"/>
        </w:tabs>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 xml:space="preserve">В части реализации плана мероприятий, направленных на </w:t>
      </w:r>
      <w:r>
        <w:rPr>
          <w:rFonts w:ascii="Times New Roman" w:eastAsia="Times New Roman" w:hAnsi="Times New Roman" w:cs="Times New Roman"/>
          <w:sz w:val="28"/>
          <w:szCs w:val="28"/>
        </w:rPr>
        <w:lastRenderedPageBreak/>
        <w:t xml:space="preserve">оптимизацию расходов, наибольший эффект получен за счет внедрения практики использования экономии, сложившейся по результатам проведения конкурсных процедур. Такая экономия является одним из источников обеспечения новых (увеличения действующих) расходных обязательств.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целях эффективного использования средств бюджета с января по декабрь 2025 года муниципальными учреждениями Уссурийского городского округа Приморского края осуществлено 1 309 конкурентных закупочных процедуры (рост в сравнении с 2024 годом 48,1%, или на 425 процедур), в том числе:</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sz w:val="28"/>
          <w:szCs w:val="28"/>
        </w:rPr>
        <w:t xml:space="preserve">9 конкурсов, 472 аукцион, 483 запроса котировок, </w:t>
      </w:r>
      <w:r>
        <w:rPr>
          <w:rFonts w:ascii="Times New Roman" w:eastAsia="Times New Roman" w:hAnsi="Times New Roman" w:cs="Times New Roman"/>
          <w:color w:val="000000"/>
          <w:sz w:val="28"/>
        </w:rPr>
        <w:t>345</w:t>
      </w:r>
      <w:r>
        <w:rPr>
          <w:rFonts w:ascii="Times New Roman" w:eastAsia="Times New Roman" w:hAnsi="Times New Roman" w:cs="Times New Roman"/>
          <w:b/>
          <w:color w:val="000000"/>
          <w:sz w:val="28"/>
        </w:rPr>
        <w:t xml:space="preserve"> </w:t>
      </w:r>
      <w:r>
        <w:rPr>
          <w:rFonts w:ascii="Times New Roman" w:eastAsia="Times New Roman" w:hAnsi="Times New Roman" w:cs="Times New Roman"/>
          <w:color w:val="000000"/>
          <w:sz w:val="28"/>
        </w:rPr>
        <w:t>закупок в электронном магазине (с единственным поставщиком).</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Экономия средств от конкурсных процедур составила 1 106,2 млн. рублей, была направлена на увеличение объема выполняемых мероприятий.</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 xml:space="preserve">В целях соблюдения мер, предусмотренных пунктом 2 статьи 136 Бюджетного кодекса РФ, в течение года осуществлялся контроль за соблюдением нормативов расходов на содержания органов местного самоуправления, установленным администрацией Приморского края. В 2025 году расходы на содержание органов местного самоуправления составили 13,63 % от общего объема доходов бюджета городского округа при установленном нормативе 20,27 %. </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В целях повышения эффективности и результативности использования бюджетных ресурсов бюджет Уссурийского городского округа Приморского края формировался по программно - целевому принципу. Муниципальными программами охвачены все сферы деятельности администрации Уссурийского городского округа Приморского края: образование, культура, физическая культура и спорт, молодежная политика, обеспечение пожарной безопасности, жилищно-коммунальное и дорожное хозяйство, благоустройство и иные сферы.</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 xml:space="preserve">Расходы бюджета Уссурийского городского округа Приморского края </w:t>
      </w:r>
      <w:r>
        <w:rPr>
          <w:rFonts w:ascii="Times New Roman" w:eastAsia="Times New Roman" w:hAnsi="Times New Roman" w:cs="Times New Roman"/>
          <w:sz w:val="28"/>
          <w:szCs w:val="28"/>
        </w:rPr>
        <w:lastRenderedPageBreak/>
        <w:t xml:space="preserve">за 2025 год на реализацию 28 муниципальных программ составили </w:t>
      </w:r>
      <w:r>
        <w:rPr>
          <w:rFonts w:ascii="Times New Roman" w:eastAsia="Times New Roman" w:hAnsi="Times New Roman" w:cs="Times New Roman"/>
          <w:sz w:val="28"/>
          <w:szCs w:val="28"/>
        </w:rPr>
        <w:br/>
        <w:t xml:space="preserve">9 221,35 млн. рублей. Доля программных расходов, т.е. расходов, непосредственно увязанных с целями и результатами деятельности органов местного самоуправления, составила 84,61 % от общего объема расходов. </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 xml:space="preserve">На особом контроле стояло исполнение </w:t>
      </w:r>
      <w:r>
        <w:rPr>
          <w:rFonts w:ascii="Times New Roman" w:eastAsia="Times New Roman" w:hAnsi="Times New Roman" w:cs="Times New Roman"/>
          <w:sz w:val="28"/>
          <w:szCs w:val="28"/>
        </w:rPr>
        <w:t xml:space="preserve">Указов Президента РФ </w:t>
      </w:r>
      <w:r>
        <w:rPr>
          <w:rFonts w:ascii="Times New Roman" w:eastAsia="Times New Roman" w:hAnsi="Times New Roman" w:cs="Times New Roman"/>
          <w:color w:val="000000"/>
          <w:sz w:val="28"/>
        </w:rPr>
        <w:t xml:space="preserve">                      от 07 мая 2024 года № 309</w:t>
      </w: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rPr>
        <w:t>О национальных целях развития Российской Федерации на период до 2030 года и на перспективу до 2036 года</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от 21 июля 2020 года № 474 «О национальных целях развития Российской Федерации на период до 2030 года»,</w:t>
      </w:r>
      <w:r>
        <w:rPr>
          <w:rFonts w:ascii="Times New Roman" w:eastAsia="Times New Roman" w:hAnsi="Times New Roman" w:cs="Times New Roman"/>
          <w:color w:val="000000"/>
          <w:sz w:val="28"/>
          <w:szCs w:val="28"/>
        </w:rPr>
        <w:t xml:space="preserve"> от 07 мая 2012 года № 597                               «О мероприятиях по реализации государственной социальной политики» и          от 01 июня 2012 года № 761 «О национальной стратегии действий в интересах детей на 2012-2017 годы»</w:t>
      </w:r>
      <w:r>
        <w:rPr>
          <w:rFonts w:ascii="Times New Roman" w:eastAsia="Times New Roman" w:hAnsi="Times New Roman" w:cs="Times New Roman"/>
          <w:sz w:val="28"/>
          <w:szCs w:val="28"/>
        </w:rPr>
        <w:t xml:space="preserve">.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Администрацией Уссурийского городского округа Приморского края </w:t>
      </w:r>
      <w:r>
        <w:rPr>
          <w:rFonts w:ascii="Times New Roman" w:eastAsia="Times New Roman" w:hAnsi="Times New Roman" w:cs="Times New Roman"/>
          <w:sz w:val="28"/>
          <w:szCs w:val="28"/>
        </w:rPr>
        <w:br/>
        <w:t xml:space="preserve">в 2025 году осуществлялась реализация мероприятий 4 национальных проектов с </w:t>
      </w:r>
      <w:proofErr w:type="spellStart"/>
      <w:r>
        <w:rPr>
          <w:rFonts w:ascii="Times New Roman" w:eastAsia="Times New Roman" w:hAnsi="Times New Roman" w:cs="Times New Roman"/>
          <w:sz w:val="28"/>
          <w:szCs w:val="28"/>
        </w:rPr>
        <w:t>софинасированием</w:t>
      </w:r>
      <w:proofErr w:type="spellEnd"/>
      <w:r>
        <w:rPr>
          <w:rFonts w:ascii="Times New Roman" w:eastAsia="Times New Roman" w:hAnsi="Times New Roman" w:cs="Times New Roman"/>
          <w:sz w:val="28"/>
          <w:szCs w:val="28"/>
        </w:rPr>
        <w:t xml:space="preserve"> из бюджетов вышестоящих уровней,  в том числе:</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 xml:space="preserve">национальный проект «Инфраструктура для жизни», в рамках которого приобретены 19 жилых помещений для переселения граждан из аварийного жилищного фонда, проведено благоустройство двух скверов по адресам: </w:t>
      </w:r>
      <w:r>
        <w:rPr>
          <w:rFonts w:ascii="Times New Roman" w:eastAsia="Times New Roman" w:hAnsi="Times New Roman" w:cs="Times New Roman"/>
          <w:color w:val="000000"/>
          <w:sz w:val="28"/>
        </w:rPr>
        <w:br/>
        <w:t>г. Уссурийск, ул. Краснознаменная, 135б, г. Уссурийск,  ул. Промышленная, 5в;</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национальный проект «Туризм и гостеприимство», в рамках которого проведены мероприятия по обустройству туристического центра города;</w:t>
      </w:r>
    </w:p>
    <w:p w:rsidR="00B52DE3" w:rsidRDefault="00DE73E3">
      <w:pPr>
        <w:spacing w:after="0" w:line="360" w:lineRule="auto"/>
        <w:ind w:left="700"/>
        <w:jc w:val="both"/>
        <w:rPr>
          <w:rFonts w:ascii="Times New Roman" w:hAnsi="Times New Roman" w:cs="Times New Roman"/>
        </w:rPr>
      </w:pPr>
      <w:r>
        <w:rPr>
          <w:rFonts w:ascii="Times New Roman" w:eastAsia="Times New Roman" w:hAnsi="Times New Roman" w:cs="Times New Roman"/>
          <w:color w:val="000000"/>
          <w:sz w:val="28"/>
        </w:rPr>
        <w:t xml:space="preserve">национальный проект «Молодежь и дети», в рамках которого: </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 xml:space="preserve">оказаны меры социальной поддержки педагогическим работникам муниципальных образовательных учреждений (218 молодых специалистов, 96 наставников (из них 4 молодых специалиста и 3 наставника сферы культуры); </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lastRenderedPageBreak/>
        <w:t xml:space="preserve">обеспечена деятельность советников директоров по воспитанию </w:t>
      </w:r>
      <w:r>
        <w:rPr>
          <w:rFonts w:ascii="Times New Roman" w:eastAsia="Times New Roman" w:hAnsi="Times New Roman" w:cs="Times New Roman"/>
          <w:color w:val="000000"/>
          <w:sz w:val="28"/>
        </w:rPr>
        <w:br/>
        <w:t xml:space="preserve">и взаимодействию с детскими общественными объединениями </w:t>
      </w:r>
      <w:r>
        <w:rPr>
          <w:rFonts w:ascii="Times New Roman" w:eastAsia="Times New Roman" w:hAnsi="Times New Roman" w:cs="Times New Roman"/>
          <w:color w:val="000000"/>
          <w:sz w:val="28"/>
        </w:rPr>
        <w:br/>
        <w:t xml:space="preserve">в общеобразовательных организациях (33 специалиста); </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 xml:space="preserve">обеспечено ежемесячное денежное вознаграждение за классное руководство педагогическим работникам (864 педагогов); </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 xml:space="preserve">начато строительство школы по улице Выгонная 16; </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проведен капитальный ремонт здания учебного корпуса МБОУ СОШ № 22 по улице Тимирязева, д. 33;</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 xml:space="preserve">национальный проект «Семья» в рамках которого начаты работы по адресному строительству двух детских садов по улице Выгонная, д. 20 и улица Московская и капитальному ремонту дома культуры «Нива»                               п. Тимирязевский. </w:t>
      </w:r>
    </w:p>
    <w:p w:rsidR="00B52DE3" w:rsidRDefault="00DE73E3">
      <w:pPr>
        <w:widowControl w:val="0"/>
        <w:tabs>
          <w:tab w:val="left" w:pos="709"/>
        </w:tabs>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В 2025 году было обеспечено выполнение майских указов Президента в части достижения целевых значений заработной платы отдельных категорий работников, которые составили:</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в сфере образования:</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по педагогическим работникам общеобразовательных учреждений  </w:t>
      </w:r>
      <w:r>
        <w:rPr>
          <w:rFonts w:ascii="Times New Roman" w:eastAsia="Times New Roman" w:hAnsi="Times New Roman" w:cs="Times New Roman"/>
          <w:b/>
          <w:color w:val="000000"/>
          <w:sz w:val="28"/>
        </w:rPr>
        <w:br/>
      </w:r>
      <w:r>
        <w:rPr>
          <w:rFonts w:ascii="Times New Roman" w:eastAsia="Times New Roman" w:hAnsi="Times New Roman" w:cs="Times New Roman"/>
          <w:color w:val="000000"/>
          <w:sz w:val="28"/>
        </w:rPr>
        <w:t>78 796,38 руб., при прогнозном значении 76 469,30 руб.;</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по педагогическим работникам дошкольных образовательных учреждений 78 297,14 руб., при прогнозном значении 74 715,90 руб.;</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по педагогическим работникам учреждений дополнительного образования детей 80 668,79 руб., при прогнозном значении 76 469,30 руб.;</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rPr>
        <w:t>в сфере культуры 77 815,26 руб., при прогнозном значении                                76 469,30 руб.</w:t>
      </w:r>
    </w:p>
    <w:p w:rsidR="00B52DE3" w:rsidRDefault="00DE73E3">
      <w:pPr>
        <w:widowControl w:val="0"/>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В контексте эффективности бюджетных расходов сохраняло актуальность такое направление бюджетной политики, как повышение качества и результативности контрольных мероприятий, осуществляемых органом внутреннего муниципального финансового контроля.</w:t>
      </w:r>
    </w:p>
    <w:p w:rsidR="00B52DE3" w:rsidRDefault="00DE73E3">
      <w:pPr>
        <w:widowControl w:val="0"/>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 xml:space="preserve">В рамках исполнения полномочий по внутреннему муниципальному </w:t>
      </w:r>
      <w:r>
        <w:rPr>
          <w:rFonts w:ascii="Times New Roman" w:eastAsia="Times New Roman" w:hAnsi="Times New Roman" w:cs="Times New Roman"/>
          <w:color w:val="000000"/>
          <w:sz w:val="28"/>
          <w:szCs w:val="28"/>
          <w:lang w:eastAsia="ru-RU"/>
        </w:rPr>
        <w:lastRenderedPageBreak/>
        <w:t>финансовому контролю в 2025 году проведено 11 плановых и 6 внеплановых контрольных мероприятия, в ходе которых рассмотрены следующие темы:</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соблюдение законодательства Российской Федерации и иных правовых актов о контрактной системе в сфере закупок товаров, работ, услуг для обеспечения государственных и муниципальных нужд в отношении отдельных закупок для обеспечения муниципальных нужд;</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предоставление и использование субсидий, предоставленных из бюджета публично-правового образования бюджетным (автономным) учреждениям, и их отражения в бухгалтерском учете и бухгалтерской (финансовой) отчетности; достоверность отчета об исполнении муниципального задания; осуществление расходов бюджета публично-правового образования на реализацию мероприятий муниципальной программы;</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проверка финансово-хозяйственной деятельности автономного учреждения.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Общий объем бюджетных средств, охваченных контрольными мероприятиями, составил 1 503, 85 млн. рублей. По результатам проведенных контрольных мероприятий выявлено 202 факта нарушений на общую сумму 284,21 млн. рублей, составлено 7 протоколов о возбуждении административных дел, объектам контроля направлено 16 представлений                 и 2 предписания.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целях предупреждения нарушений законодательства, устранения причин и условий, способствующих нарушениям законодательства, на постоянной основе осуществлялись мероприятия по профилактике нарушений, в том числе: проводились разъяснительные, консультативные работы с объектами контроля; осуществлялся информационный обмен с правоохранительными органами, органами прокуратуры и иными государственными (муниципальными) органами и координация деятельности с органами финансового контроля; на официальном сайте администрации </w:t>
      </w:r>
      <w:r>
        <w:rPr>
          <w:rFonts w:ascii="Times New Roman" w:eastAsia="Times New Roman" w:hAnsi="Times New Roman" w:cs="Times New Roman"/>
          <w:sz w:val="28"/>
          <w:szCs w:val="28"/>
        </w:rPr>
        <w:lastRenderedPageBreak/>
        <w:t>Уссурийского городского округа Приморского края и на официальном сайте Единой информационной систе</w:t>
      </w:r>
      <w:r>
        <w:rPr>
          <w:rFonts w:ascii="Times New Roman" w:eastAsia="Times New Roman" w:hAnsi="Times New Roman" w:cs="Times New Roman"/>
          <w:color w:val="333333"/>
          <w:sz w:val="28"/>
          <w:szCs w:val="28"/>
        </w:rPr>
        <w:t>мы</w:t>
      </w:r>
      <w:r>
        <w:rPr>
          <w:rFonts w:ascii="Times New Roman" w:eastAsia="Times New Roman" w:hAnsi="Times New Roman" w:cs="Times New Roman"/>
          <w:sz w:val="28"/>
          <w:szCs w:val="28"/>
        </w:rPr>
        <w:t xml:space="preserve"> в сфере закупок размещена информация о результатах контрольных мероприятий.</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 xml:space="preserve">Для оценки эффективности деятельности главных администраторов бюджета распоряжением финансового управления администрации Уссурийского городского округа Приморского края от 26 февраля 2021 года № 5 утвержден Порядок проведения мониторинга качества финансового менеджмента, осуществляемого главными распорядителями средств бюджета Уссурийского городского округа и главными администраторами доходов бюджета. </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В 2025 году по итогам работы за 2024 год проведена оценка мониторинга качества финансового менеджмента, осуществляемого главными администраторами бюджетных средств Уссурийского городского округа Приморского края. Средний уровень качества финансового менеджмента главных распорядителей составил 90,0%, максимальный уровень качества финансового менеджмента составил 100,0%, минимальный уровень качества финансового менеджмента составил 81,0%.</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В 2025 году на постоянной основе проводилась работа по размещению на едином портале интегрированной информационной системы управления общественными финансами «Электронный бюджет» информации, касающейся бюджетного процесса, в соответствии с Порядком, установленным приказом Минфина России от 28 декабря 2016 года № 243Н.</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В целях обеспечения полного и доступного информирования граждан о бюджете и бюджетном процессе в Уссурийском городском округе Приморского края в 2025 году применялся механизм обеспечения публичности и доступности бюджетной политики посредством Интернет – портала «Открытый бюджет», где размещалась информация о бюджетном процессе, сведения о распределении финансовых ресурсов из бюджета в доступной для граждан форме.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Проведены публичные слушания в очной форме по 2 вопросам:</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по отчету об исполнении бюджета Уссурийского городского округа Приморского края за 2024 год;</w:t>
      </w:r>
    </w:p>
    <w:p w:rsidR="00B52DE3" w:rsidRDefault="00DE73E3">
      <w:pPr>
        <w:pStyle w:val="72"/>
        <w:widowControl w:val="0"/>
        <w:spacing w:after="0" w:line="360" w:lineRule="auto"/>
        <w:ind w:firstLine="708"/>
        <w:jc w:val="both"/>
      </w:pPr>
      <w:r>
        <w:rPr>
          <w:color w:val="000000"/>
          <w:sz w:val="28"/>
          <w:szCs w:val="28"/>
        </w:rPr>
        <w:t>по проекту бюджета Уссурийского городского округа Приморского края на 2026 год и плановый период 2027 и 2028 годов».</w:t>
      </w:r>
    </w:p>
    <w:p w:rsidR="00B52DE3" w:rsidRDefault="00DE73E3">
      <w:pPr>
        <w:pStyle w:val="72"/>
        <w:widowControl w:val="0"/>
        <w:spacing w:after="0" w:line="360" w:lineRule="auto"/>
        <w:ind w:firstLine="709"/>
        <w:jc w:val="both"/>
      </w:pPr>
      <w:r>
        <w:rPr>
          <w:color w:val="000000"/>
          <w:sz w:val="28"/>
          <w:szCs w:val="28"/>
        </w:rPr>
        <w:t>Граждане, которые не имели возможности принять участие в публичных слушаниях, могли выразить свое мнение по обсуждаемому вопросу в открытом доступе на сайте, предназначенном для размещения бюджетных данных Уссурийского городского округа Приморского края и на официальном сайте администрации Уссурийского городского округа Приморского края в электронной форме ПОС. Всего приняли участие: по первому вопросу -  387 человек, по второму вопросу - 427 человек.</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Во исполнение Приказа Министерства финансов Приморского края                    от 14 мая 2020 года № 65 «О порядке проведения мониторинга и составления рейтинга муниципальных образований Приморского края по уровню открытости бюджетных данных» в 2025 году были исполнены все этапы мониторинга открытости бюджетных данных, по результатам мониторинга за 2024 год Уссурийскому городскому округу Приморского края присвоена I степень открытости бюджетных данных.</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Одним из наиболее перспективных и активно развивающихся направлений деятельности является инициативное </w:t>
      </w:r>
      <w:proofErr w:type="spellStart"/>
      <w:r>
        <w:rPr>
          <w:rFonts w:ascii="Times New Roman" w:eastAsia="Times New Roman" w:hAnsi="Times New Roman" w:cs="Times New Roman"/>
          <w:sz w:val="28"/>
          <w:szCs w:val="28"/>
          <w:lang w:eastAsia="ru-RU"/>
        </w:rPr>
        <w:t>бюджетирование</w:t>
      </w:r>
      <w:proofErr w:type="spellEnd"/>
      <w:r>
        <w:rPr>
          <w:rFonts w:ascii="Times New Roman" w:eastAsia="Times New Roman" w:hAnsi="Times New Roman" w:cs="Times New Roman"/>
          <w:sz w:val="28"/>
          <w:szCs w:val="28"/>
          <w:lang w:eastAsia="ru-RU"/>
        </w:rPr>
        <w:t xml:space="preserve">. В целях поддержки общественно значимых проектов по ремонту и благоустройству объектов инфраструктуры муниципальной собственности, определенных населением в качестве приоритетных, Министерством финансов Приморского края в 2024 году проведен конкурс проектов инициативного </w:t>
      </w:r>
      <w:proofErr w:type="spellStart"/>
      <w:r>
        <w:rPr>
          <w:rFonts w:ascii="Times New Roman" w:eastAsia="Times New Roman" w:hAnsi="Times New Roman" w:cs="Times New Roman"/>
          <w:sz w:val="28"/>
          <w:szCs w:val="28"/>
          <w:lang w:eastAsia="ru-RU"/>
        </w:rPr>
        <w:t>бюджетирования</w:t>
      </w:r>
      <w:proofErr w:type="spellEnd"/>
      <w:r>
        <w:rPr>
          <w:rFonts w:ascii="Times New Roman" w:eastAsia="Times New Roman" w:hAnsi="Times New Roman" w:cs="Times New Roman"/>
          <w:sz w:val="28"/>
          <w:szCs w:val="28"/>
          <w:lang w:eastAsia="ru-RU"/>
        </w:rPr>
        <w:t xml:space="preserve"> по направлению «Твой проект» для реализации проектов в 2025 году. От жителей Уссурийского городского округа Приморского края на конкурс поступил 51 проект. После проведения открытого </w:t>
      </w:r>
      <w:proofErr w:type="spellStart"/>
      <w:r>
        <w:rPr>
          <w:rFonts w:ascii="Times New Roman" w:eastAsia="Times New Roman" w:hAnsi="Times New Roman" w:cs="Times New Roman"/>
          <w:sz w:val="28"/>
          <w:szCs w:val="28"/>
          <w:lang w:eastAsia="ru-RU"/>
        </w:rPr>
        <w:t>онлайн-голосования</w:t>
      </w:r>
      <w:proofErr w:type="spellEnd"/>
      <w:r>
        <w:rPr>
          <w:rFonts w:ascii="Times New Roman" w:eastAsia="Times New Roman" w:hAnsi="Times New Roman" w:cs="Times New Roman"/>
          <w:sz w:val="28"/>
          <w:szCs w:val="28"/>
          <w:lang w:eastAsia="ru-RU"/>
        </w:rPr>
        <w:t xml:space="preserve">, в котором от Уссурийского городского округа Приморского </w:t>
      </w:r>
      <w:r>
        <w:rPr>
          <w:rFonts w:ascii="Times New Roman" w:eastAsia="Times New Roman" w:hAnsi="Times New Roman" w:cs="Times New Roman"/>
          <w:sz w:val="28"/>
          <w:szCs w:val="28"/>
          <w:lang w:eastAsia="ru-RU"/>
        </w:rPr>
        <w:lastRenderedPageBreak/>
        <w:t>края приняли участие более 14 тысяч жителей, было отобрано 4 проекта-победителя. Все проекты победители были успешно реализованы                        в 2025 году.</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По направлению инициативного </w:t>
      </w:r>
      <w:proofErr w:type="spellStart"/>
      <w:r>
        <w:rPr>
          <w:rFonts w:ascii="Times New Roman" w:eastAsia="Times New Roman" w:hAnsi="Times New Roman" w:cs="Times New Roman"/>
          <w:sz w:val="28"/>
          <w:szCs w:val="28"/>
          <w:lang w:eastAsia="ru-RU"/>
        </w:rPr>
        <w:t>бюджетирования</w:t>
      </w:r>
      <w:proofErr w:type="spellEnd"/>
      <w:r>
        <w:rPr>
          <w:rFonts w:ascii="Times New Roman" w:eastAsia="Times New Roman" w:hAnsi="Times New Roman" w:cs="Times New Roman"/>
          <w:sz w:val="28"/>
          <w:szCs w:val="28"/>
          <w:lang w:eastAsia="ru-RU"/>
        </w:rPr>
        <w:t xml:space="preserve"> – «Молодежный бюджет» было предложено 65 проектов, направленных на благоустройство объектов для проведения общественных и культурно-массовых мероприятий, детские и спортивные площадки. По результатам открытого голосования среди школьников было определено 5 проектов-победителей.</w:t>
      </w:r>
    </w:p>
    <w:p w:rsidR="00B52DE3" w:rsidRDefault="00DE73E3">
      <w:pPr>
        <w:widowControl w:val="0"/>
        <w:tabs>
          <w:tab w:val="left" w:pos="709"/>
        </w:tabs>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Проводимая работа администрации Уссурийского городского округа Приморского края по пополнению доходной части бюджета и эффективному управлению бюджетными средствами позволила обеспечить выполнение принятых бюджетных обязательств, эффективно управлять средствами единого счета бюджета.</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В результате этого в Уссурийском городском округе Приморского края отсутствует просроченная кредиторская задолженность бюджета, что</w:t>
      </w:r>
      <w:r>
        <w:rPr>
          <w:rFonts w:ascii="Times New Roman" w:eastAsia="Times New Roman" w:hAnsi="Times New Roman" w:cs="Times New Roman"/>
          <w:sz w:val="28"/>
          <w:szCs w:val="28"/>
        </w:rPr>
        <w:t xml:space="preserve"> говорит о взвешенном подходе к формированию и исполнению бюджета и ответственной финансовой политике.</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По результатам мониторинга и оценки качества управления бюджетным процессом в городских округах и муниципальных районах Приморского края за 2024 год, проведенного Министерством финансов Приморского края в 2025 году в соответствии с порядком, утвержденным приказом департамента финансов Приморского края от 16 марта 2011 года                № 8 «О порядке осуществления мониторинга и оценки качества управления бюджетным процессом в городских округах и муниципальных районах Приморского края», Уссурийскому городскому округу Приморского края присвоена  II степень качества управления бюджетным процессом.</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 xml:space="preserve">Бюджетная политика Уссурийского городского округа Приморского края на последующие годы сохранит преемственность реализуемых мер, будет направлена на эффективное, ответственное и прозрачное управление </w:t>
      </w:r>
      <w:r>
        <w:rPr>
          <w:rFonts w:ascii="Times New Roman" w:eastAsia="Times New Roman" w:hAnsi="Times New Roman" w:cs="Times New Roman"/>
          <w:sz w:val="28"/>
          <w:szCs w:val="28"/>
        </w:rPr>
        <w:lastRenderedPageBreak/>
        <w:t xml:space="preserve">муниципальными финансами, что является базовым условием </w:t>
      </w:r>
      <w:r>
        <w:rPr>
          <w:rFonts w:ascii="Times New Roman" w:eastAsia="Times New Roman" w:hAnsi="Times New Roman" w:cs="Times New Roman"/>
          <w:sz w:val="28"/>
          <w:szCs w:val="28"/>
        </w:rPr>
        <w:br/>
        <w:t>для обеспечения сбалансированности бюджета.</w:t>
      </w:r>
    </w:p>
    <w:p w:rsidR="00B52DE3" w:rsidRDefault="00DE73E3">
      <w:pPr>
        <w:pStyle w:val="ConsPlusNonformat"/>
        <w:widowControl w:val="0"/>
        <w:tabs>
          <w:tab w:val="left" w:pos="720"/>
        </w:tabs>
        <w:spacing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 </w:t>
      </w:r>
    </w:p>
    <w:p w:rsidR="00B52DE3" w:rsidRDefault="00DE73E3">
      <w:pPr>
        <w:pStyle w:val="1fe"/>
        <w:keepNext w:val="0"/>
        <w:keepLines w:val="0"/>
        <w:spacing w:line="240" w:lineRule="auto"/>
        <w:rPr>
          <w:rFonts w:eastAsia="Times New Roman"/>
        </w:rPr>
      </w:pPr>
      <w:bookmarkStart w:id="13" w:name="_Toc14"/>
      <w:r>
        <w:rPr>
          <w:rFonts w:eastAsia="Times New Roman"/>
        </w:rPr>
        <w:t>ВЛАДЕНИЕ, ПОЛЬЗОВАНИЕ И РАСПОРЯЖЕНИЕ ИМУЩЕСТВОМ, НАХОДЯЩИМСЯ В МУНИЦИПАЛЬНОЙ СОБСТВЕННОСТИ ГОРОДСКОГО ОКРУГА</w:t>
      </w:r>
      <w:bookmarkEnd w:id="13"/>
    </w:p>
    <w:p w:rsidR="00B52DE3" w:rsidRDefault="00B52DE3">
      <w:pPr>
        <w:widowControl w:val="0"/>
        <w:spacing w:after="0" w:line="240" w:lineRule="auto"/>
        <w:ind w:firstLine="709"/>
        <w:jc w:val="both"/>
        <w:rPr>
          <w:rFonts w:ascii="Times New Roman" w:hAnsi="Times New Roman" w:cs="Times New Roman"/>
          <w:b/>
          <w:spacing w:val="4"/>
        </w:rPr>
      </w:pPr>
    </w:p>
    <w:p w:rsidR="00B52DE3" w:rsidRDefault="00DE73E3">
      <w:pPr>
        <w:widowControl w:val="0"/>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соответствии с Федеральным законом от 20 марта 2025 года № 33-ФЗ «Об общих принципах организации местного самоуправления в единой системе публичной власти» владение, пользование и распоряжение имуществом, находящимся в муниципальной собственности Уссурийского городского округа Приморского края является одним из вопросов местного значения. </w:t>
      </w:r>
    </w:p>
    <w:p w:rsidR="00B52DE3" w:rsidRDefault="00DE73E3">
      <w:pPr>
        <w:pStyle w:val="2f6"/>
        <w:keepNext w:val="0"/>
        <w:spacing w:before="0"/>
      </w:pPr>
      <w:bookmarkStart w:id="14" w:name="_Toc15"/>
      <w:r>
        <w:t>Владение и пользование муниципальным имуществом</w:t>
      </w:r>
      <w:bookmarkEnd w:id="14"/>
    </w:p>
    <w:p w:rsidR="00B52DE3" w:rsidRDefault="00B52DE3">
      <w:pPr>
        <w:pStyle w:val="2f6"/>
        <w:keepNext w:val="0"/>
        <w:spacing w:before="0"/>
        <w:rPr>
          <w:color w:val="FF0000"/>
          <w:spacing w:val="4"/>
        </w:rPr>
      </w:pPr>
    </w:p>
    <w:p w:rsidR="00B52DE3" w:rsidRDefault="00DE73E3">
      <w:pPr>
        <w:spacing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собственности Уссурийского городского округа Приморского края по состоянию на 01 января 2026 года находится муниципальное имущество  первоначальной балансовой  стоимостью  28 165 996,64 тыс. рублей.</w:t>
      </w:r>
    </w:p>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b/>
          <w:sz w:val="28"/>
          <w:szCs w:val="28"/>
        </w:rPr>
        <w:t>Состав муниципального имущества</w:t>
      </w:r>
    </w:p>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b/>
          <w:sz w:val="28"/>
          <w:szCs w:val="28"/>
        </w:rPr>
        <w:t xml:space="preserve">Уссурийского городского округа Приморского края </w:t>
      </w:r>
    </w:p>
    <w:p w:rsidR="00B52DE3" w:rsidRDefault="00B52DE3">
      <w:pPr>
        <w:widowControl w:val="0"/>
        <w:spacing w:after="0"/>
        <w:ind w:firstLine="709"/>
        <w:jc w:val="center"/>
        <w:rPr>
          <w:rFonts w:ascii="Times New Roman" w:hAnsi="Times New Roman" w:cs="Times New Roman"/>
          <w:b/>
          <w:bCs/>
          <w:sz w:val="28"/>
          <w:szCs w:val="28"/>
        </w:rPr>
      </w:pPr>
    </w:p>
    <w:tbl>
      <w:tblPr>
        <w:tblW w:w="9356" w:type="dxa"/>
        <w:tblInd w:w="-113" w:type="dxa"/>
        <w:tblLayout w:type="fixed"/>
        <w:tblLook w:val="04A0"/>
      </w:tblPr>
      <w:tblGrid>
        <w:gridCol w:w="624"/>
        <w:gridCol w:w="3196"/>
        <w:gridCol w:w="2275"/>
        <w:gridCol w:w="2268"/>
        <w:gridCol w:w="993"/>
      </w:tblGrid>
      <w:tr w:rsidR="00B52DE3">
        <w:tc>
          <w:tcPr>
            <w:tcW w:w="624"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w:t>
            </w:r>
            <w:proofErr w:type="spell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3196"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Наименование</w:t>
            </w:r>
          </w:p>
        </w:tc>
        <w:tc>
          <w:tcPr>
            <w:tcW w:w="2275"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line="240" w:lineRule="auto"/>
              <w:jc w:val="center"/>
              <w:rPr>
                <w:rFonts w:ascii="Times New Roman" w:hAnsi="Times New Roman" w:cs="Times New Roman"/>
                <w:sz w:val="28"/>
                <w:szCs w:val="28"/>
              </w:rPr>
            </w:pPr>
            <w:proofErr w:type="spellStart"/>
            <w:r>
              <w:rPr>
                <w:rFonts w:ascii="Times New Roman" w:eastAsia="Times New Roman" w:hAnsi="Times New Roman" w:cs="Times New Roman"/>
                <w:sz w:val="28"/>
                <w:szCs w:val="28"/>
              </w:rPr>
              <w:t>Первоначальнаястоимость</w:t>
            </w:r>
            <w:proofErr w:type="spellEnd"/>
            <w:r>
              <w:rPr>
                <w:rFonts w:ascii="Times New Roman" w:eastAsia="Times New Roman" w:hAnsi="Times New Roman" w:cs="Times New Roman"/>
                <w:sz w:val="28"/>
                <w:szCs w:val="28"/>
              </w:rPr>
              <w:t xml:space="preserve"> на 01.01.2025г.              тыс. рублей</w:t>
            </w:r>
          </w:p>
        </w:tc>
        <w:tc>
          <w:tcPr>
            <w:tcW w:w="2268"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line="240" w:lineRule="auto"/>
              <w:jc w:val="center"/>
              <w:rPr>
                <w:rFonts w:ascii="Times New Roman" w:hAnsi="Times New Roman" w:cs="Times New Roman"/>
                <w:sz w:val="28"/>
                <w:szCs w:val="28"/>
              </w:rPr>
            </w:pPr>
            <w:proofErr w:type="spellStart"/>
            <w:r>
              <w:rPr>
                <w:rFonts w:ascii="Times New Roman" w:eastAsia="Times New Roman" w:hAnsi="Times New Roman" w:cs="Times New Roman"/>
                <w:sz w:val="28"/>
                <w:szCs w:val="28"/>
              </w:rPr>
              <w:t>Первоначальнаястоимость</w:t>
            </w:r>
            <w:proofErr w:type="spellEnd"/>
            <w:r>
              <w:rPr>
                <w:rFonts w:ascii="Times New Roman" w:eastAsia="Times New Roman" w:hAnsi="Times New Roman" w:cs="Times New Roman"/>
                <w:sz w:val="28"/>
                <w:szCs w:val="28"/>
              </w:rPr>
              <w:t xml:space="preserve"> на 01.01.2026г.              тыс. рублей</w:t>
            </w:r>
          </w:p>
        </w:tc>
        <w:tc>
          <w:tcPr>
            <w:tcW w:w="99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 xml:space="preserve">Темп </w:t>
            </w:r>
            <w:proofErr w:type="spellStart"/>
            <w:r>
              <w:rPr>
                <w:rFonts w:ascii="Times New Roman" w:eastAsia="Times New Roman" w:hAnsi="Times New Roman" w:cs="Times New Roman"/>
                <w:sz w:val="28"/>
                <w:szCs w:val="28"/>
              </w:rPr>
              <w:t>роста%</w:t>
            </w:r>
            <w:proofErr w:type="spellEnd"/>
          </w:p>
        </w:tc>
      </w:tr>
      <w:tr w:rsidR="00B52DE3">
        <w:tc>
          <w:tcPr>
            <w:tcW w:w="624"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w:t>
            </w:r>
          </w:p>
        </w:tc>
        <w:tc>
          <w:tcPr>
            <w:tcW w:w="319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Стоимость муниципального имущества</w:t>
            </w:r>
          </w:p>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Всего:</w:t>
            </w:r>
          </w:p>
        </w:tc>
        <w:tc>
          <w:tcPr>
            <w:tcW w:w="2275" w:type="dxa"/>
            <w:tcBorders>
              <w:top w:val="single" w:sz="4" w:space="0" w:color="000000"/>
              <w:left w:val="single" w:sz="4" w:space="0" w:color="000000"/>
              <w:bottom w:val="single" w:sz="4" w:space="0" w:color="000000"/>
              <w:right w:val="single" w:sz="4" w:space="0" w:color="000000"/>
            </w:tcBorders>
          </w:tcPr>
          <w:p w:rsidR="00B52DE3" w:rsidRDefault="00B52DE3">
            <w:pPr>
              <w:pStyle w:val="Heading5"/>
              <w:spacing w:before="0" w:after="0"/>
              <w:jc w:val="right"/>
              <w:rPr>
                <w:b w:val="0"/>
                <w:i w:val="0"/>
                <w:sz w:val="28"/>
                <w:szCs w:val="28"/>
              </w:rPr>
            </w:pPr>
          </w:p>
          <w:p w:rsidR="00B52DE3" w:rsidRDefault="00B52DE3">
            <w:pPr>
              <w:pStyle w:val="Heading5"/>
              <w:spacing w:before="0" w:after="0"/>
              <w:jc w:val="right"/>
              <w:rPr>
                <w:b w:val="0"/>
                <w:i w:val="0"/>
                <w:sz w:val="28"/>
                <w:szCs w:val="28"/>
              </w:rPr>
            </w:pPr>
          </w:p>
          <w:p w:rsidR="00B52DE3" w:rsidRDefault="00DE73E3">
            <w:pPr>
              <w:pStyle w:val="Heading5"/>
              <w:spacing w:before="0" w:after="0"/>
              <w:jc w:val="right"/>
              <w:rPr>
                <w:sz w:val="28"/>
                <w:szCs w:val="28"/>
              </w:rPr>
            </w:pPr>
            <w:bookmarkStart w:id="15" w:name="_Toc16"/>
            <w:r>
              <w:rPr>
                <w:b w:val="0"/>
                <w:i w:val="0"/>
                <w:sz w:val="28"/>
                <w:szCs w:val="28"/>
              </w:rPr>
              <w:t>25 101 536,17</w:t>
            </w:r>
            <w:bookmarkEnd w:id="15"/>
          </w:p>
        </w:tc>
        <w:tc>
          <w:tcPr>
            <w:tcW w:w="2268" w:type="dxa"/>
            <w:tcBorders>
              <w:top w:val="single" w:sz="4" w:space="0" w:color="000000"/>
              <w:left w:val="single" w:sz="4" w:space="0" w:color="000000"/>
              <w:bottom w:val="single" w:sz="4" w:space="0" w:color="000000"/>
              <w:right w:val="single" w:sz="4" w:space="0" w:color="000000"/>
            </w:tcBorders>
          </w:tcPr>
          <w:p w:rsidR="00B52DE3" w:rsidRDefault="00B52DE3">
            <w:pPr>
              <w:pStyle w:val="Heading5"/>
              <w:spacing w:before="0" w:after="0"/>
              <w:jc w:val="right"/>
              <w:rPr>
                <w:b w:val="0"/>
                <w:i w:val="0"/>
                <w:color w:val="000000"/>
                <w:sz w:val="28"/>
                <w:szCs w:val="28"/>
              </w:rPr>
            </w:pPr>
          </w:p>
          <w:p w:rsidR="00B52DE3" w:rsidRDefault="00B52DE3">
            <w:pPr>
              <w:pStyle w:val="Heading5"/>
              <w:spacing w:before="0" w:after="0"/>
              <w:jc w:val="right"/>
              <w:rPr>
                <w:b w:val="0"/>
                <w:i w:val="0"/>
                <w:color w:val="000000"/>
                <w:sz w:val="28"/>
                <w:szCs w:val="28"/>
              </w:rPr>
            </w:pPr>
          </w:p>
          <w:p w:rsidR="00B52DE3" w:rsidRDefault="00DE73E3">
            <w:pPr>
              <w:pStyle w:val="Heading5"/>
              <w:spacing w:before="0" w:after="0"/>
              <w:jc w:val="right"/>
              <w:rPr>
                <w:sz w:val="28"/>
                <w:szCs w:val="28"/>
              </w:rPr>
            </w:pPr>
            <w:bookmarkStart w:id="16" w:name="_Toc17"/>
            <w:r>
              <w:rPr>
                <w:b w:val="0"/>
                <w:i w:val="0"/>
                <w:color w:val="000000"/>
                <w:sz w:val="28"/>
                <w:szCs w:val="28"/>
              </w:rPr>
              <w:t>28 165 996,65</w:t>
            </w:r>
            <w:bookmarkEnd w:id="16"/>
          </w:p>
        </w:tc>
        <w:tc>
          <w:tcPr>
            <w:tcW w:w="993" w:type="dxa"/>
            <w:tcBorders>
              <w:top w:val="single" w:sz="4" w:space="0" w:color="000000"/>
              <w:left w:val="single" w:sz="4" w:space="0" w:color="000000"/>
              <w:bottom w:val="single" w:sz="4" w:space="0" w:color="000000"/>
              <w:right w:val="single" w:sz="4" w:space="0" w:color="000000"/>
            </w:tcBorders>
          </w:tcPr>
          <w:p w:rsidR="00B52DE3" w:rsidRDefault="00B52DE3">
            <w:pPr>
              <w:pStyle w:val="Heading5"/>
              <w:spacing w:before="0" w:after="0"/>
              <w:jc w:val="center"/>
              <w:rPr>
                <w:b w:val="0"/>
                <w:i w:val="0"/>
                <w:color w:val="000000"/>
                <w:sz w:val="28"/>
                <w:szCs w:val="28"/>
              </w:rPr>
            </w:pPr>
          </w:p>
          <w:p w:rsidR="00B52DE3" w:rsidRDefault="00B52DE3">
            <w:pPr>
              <w:pStyle w:val="Heading5"/>
              <w:spacing w:before="0" w:after="0"/>
              <w:jc w:val="center"/>
              <w:rPr>
                <w:b w:val="0"/>
                <w:i w:val="0"/>
                <w:color w:val="000000"/>
                <w:sz w:val="28"/>
                <w:szCs w:val="28"/>
              </w:rPr>
            </w:pPr>
          </w:p>
          <w:p w:rsidR="00B52DE3" w:rsidRDefault="00DE73E3">
            <w:pPr>
              <w:pStyle w:val="Heading5"/>
              <w:spacing w:before="0" w:after="0"/>
              <w:jc w:val="center"/>
              <w:rPr>
                <w:sz w:val="28"/>
                <w:szCs w:val="28"/>
              </w:rPr>
            </w:pPr>
            <w:bookmarkStart w:id="17" w:name="_Toc18"/>
            <w:r>
              <w:rPr>
                <w:b w:val="0"/>
                <w:i w:val="0"/>
                <w:color w:val="000000"/>
                <w:sz w:val="28"/>
                <w:szCs w:val="28"/>
              </w:rPr>
              <w:t>112,21</w:t>
            </w:r>
            <w:bookmarkEnd w:id="17"/>
          </w:p>
        </w:tc>
      </w:tr>
      <w:tr w:rsidR="00B52DE3">
        <w:tc>
          <w:tcPr>
            <w:tcW w:w="624"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319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в том числе:</w:t>
            </w:r>
          </w:p>
        </w:tc>
        <w:tc>
          <w:tcPr>
            <w:tcW w:w="2275"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2268"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color w:val="FF0000"/>
                <w:sz w:val="28"/>
                <w:szCs w:val="28"/>
              </w:rPr>
            </w:pPr>
          </w:p>
        </w:tc>
        <w:tc>
          <w:tcPr>
            <w:tcW w:w="993"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center"/>
              <w:rPr>
                <w:rFonts w:ascii="Times New Roman" w:hAnsi="Times New Roman" w:cs="Times New Roman"/>
                <w:color w:val="FF0000"/>
                <w:sz w:val="28"/>
                <w:szCs w:val="28"/>
              </w:rPr>
            </w:pPr>
          </w:p>
        </w:tc>
      </w:tr>
      <w:tr w:rsidR="00B52DE3">
        <w:tc>
          <w:tcPr>
            <w:tcW w:w="624"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1.1</w:t>
            </w:r>
          </w:p>
        </w:tc>
        <w:tc>
          <w:tcPr>
            <w:tcW w:w="319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имущество, </w:t>
            </w:r>
            <w:r>
              <w:rPr>
                <w:rFonts w:ascii="Times New Roman" w:eastAsia="Times New Roman" w:hAnsi="Times New Roman" w:cs="Times New Roman"/>
                <w:sz w:val="28"/>
                <w:szCs w:val="28"/>
              </w:rPr>
              <w:lastRenderedPageBreak/>
              <w:t>закрепленное на праве хозяйственного ведения за муниципальными предприятиями</w:t>
            </w:r>
          </w:p>
        </w:tc>
        <w:tc>
          <w:tcPr>
            <w:tcW w:w="227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lastRenderedPageBreak/>
              <w:t>3 821 404,99</w:t>
            </w:r>
          </w:p>
        </w:tc>
        <w:tc>
          <w:tcPr>
            <w:tcW w:w="2268"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4 524 404,31</w:t>
            </w:r>
          </w:p>
        </w:tc>
        <w:tc>
          <w:tcPr>
            <w:tcW w:w="993"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118,40</w:t>
            </w:r>
          </w:p>
        </w:tc>
      </w:tr>
      <w:tr w:rsidR="00B52DE3">
        <w:tc>
          <w:tcPr>
            <w:tcW w:w="624"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lastRenderedPageBreak/>
              <w:t>1.2</w:t>
            </w:r>
          </w:p>
        </w:tc>
        <w:tc>
          <w:tcPr>
            <w:tcW w:w="319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имущество, закрепленное на праве оперативного управления за муниципальными учреждениями</w:t>
            </w:r>
          </w:p>
        </w:tc>
        <w:tc>
          <w:tcPr>
            <w:tcW w:w="2275"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835"/>
              </w:tabs>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9 024 152,79</w:t>
            </w:r>
          </w:p>
        </w:tc>
        <w:tc>
          <w:tcPr>
            <w:tcW w:w="2268"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835"/>
              </w:tabs>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9 958 537,51</w:t>
            </w:r>
          </w:p>
        </w:tc>
        <w:tc>
          <w:tcPr>
            <w:tcW w:w="993"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110,35</w:t>
            </w:r>
          </w:p>
        </w:tc>
      </w:tr>
      <w:tr w:rsidR="00B52DE3">
        <w:trPr>
          <w:trHeight w:val="908"/>
        </w:trPr>
        <w:tc>
          <w:tcPr>
            <w:tcW w:w="624"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1.3</w:t>
            </w:r>
          </w:p>
        </w:tc>
        <w:tc>
          <w:tcPr>
            <w:tcW w:w="319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муниципальная казна Уссурийского городского округа</w:t>
            </w:r>
          </w:p>
        </w:tc>
        <w:tc>
          <w:tcPr>
            <w:tcW w:w="2275" w:type="dxa"/>
            <w:tcBorders>
              <w:top w:val="single" w:sz="4" w:space="0" w:color="000000"/>
              <w:left w:val="single" w:sz="4" w:space="0" w:color="000000"/>
              <w:bottom w:val="single" w:sz="4" w:space="0" w:color="000000"/>
              <w:right w:val="single" w:sz="4" w:space="0" w:color="000000"/>
            </w:tcBorders>
          </w:tcPr>
          <w:p w:rsidR="00B52DE3" w:rsidRDefault="00DE73E3">
            <w:pPr>
              <w:pStyle w:val="Heading5"/>
              <w:spacing w:before="0" w:after="0"/>
              <w:jc w:val="right"/>
              <w:rPr>
                <w:sz w:val="28"/>
                <w:szCs w:val="28"/>
              </w:rPr>
            </w:pPr>
            <w:bookmarkStart w:id="18" w:name="_Toc19"/>
            <w:r>
              <w:rPr>
                <w:b w:val="0"/>
                <w:i w:val="0"/>
                <w:sz w:val="28"/>
                <w:szCs w:val="28"/>
              </w:rPr>
              <w:t>8 464 261,98</w:t>
            </w:r>
            <w:bookmarkEnd w:id="18"/>
          </w:p>
        </w:tc>
        <w:tc>
          <w:tcPr>
            <w:tcW w:w="2268" w:type="dxa"/>
            <w:tcBorders>
              <w:top w:val="single" w:sz="4" w:space="0" w:color="000000"/>
              <w:left w:val="single" w:sz="4" w:space="0" w:color="000000"/>
              <w:bottom w:val="single" w:sz="4" w:space="0" w:color="000000"/>
              <w:right w:val="single" w:sz="4" w:space="0" w:color="000000"/>
            </w:tcBorders>
          </w:tcPr>
          <w:p w:rsidR="00B52DE3" w:rsidRDefault="00DE73E3">
            <w:pPr>
              <w:pStyle w:val="Heading5"/>
              <w:spacing w:before="0" w:after="0"/>
              <w:jc w:val="right"/>
              <w:rPr>
                <w:sz w:val="28"/>
                <w:szCs w:val="28"/>
              </w:rPr>
            </w:pPr>
            <w:bookmarkStart w:id="19" w:name="_Toc20"/>
            <w:r>
              <w:rPr>
                <w:b w:val="0"/>
                <w:i w:val="0"/>
                <w:color w:val="000000"/>
                <w:sz w:val="28"/>
                <w:szCs w:val="28"/>
              </w:rPr>
              <w:t>8 688 999,43</w:t>
            </w:r>
            <w:bookmarkEnd w:id="19"/>
          </w:p>
        </w:tc>
        <w:tc>
          <w:tcPr>
            <w:tcW w:w="993"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102,66</w:t>
            </w:r>
          </w:p>
        </w:tc>
      </w:tr>
      <w:tr w:rsidR="00B52DE3">
        <w:trPr>
          <w:trHeight w:val="660"/>
        </w:trPr>
        <w:tc>
          <w:tcPr>
            <w:tcW w:w="624"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1.4</w:t>
            </w:r>
          </w:p>
        </w:tc>
        <w:tc>
          <w:tcPr>
            <w:tcW w:w="319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акции АО «Аптека № 3»</w:t>
            </w:r>
          </w:p>
        </w:tc>
        <w:tc>
          <w:tcPr>
            <w:tcW w:w="227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8 297,00</w:t>
            </w:r>
          </w:p>
        </w:tc>
        <w:tc>
          <w:tcPr>
            <w:tcW w:w="2268"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8 297,00</w:t>
            </w:r>
          </w:p>
        </w:tc>
        <w:tc>
          <w:tcPr>
            <w:tcW w:w="993"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w:t>
            </w:r>
          </w:p>
        </w:tc>
      </w:tr>
      <w:tr w:rsidR="00B52DE3">
        <w:trPr>
          <w:trHeight w:val="908"/>
        </w:trPr>
        <w:tc>
          <w:tcPr>
            <w:tcW w:w="624"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1.5</w:t>
            </w:r>
          </w:p>
        </w:tc>
        <w:tc>
          <w:tcPr>
            <w:tcW w:w="319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акции  АО «Уссурийское предприятие тепловых сетей»</w:t>
            </w:r>
          </w:p>
        </w:tc>
        <w:tc>
          <w:tcPr>
            <w:tcW w:w="227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2 841 325,24</w:t>
            </w:r>
          </w:p>
        </w:tc>
        <w:tc>
          <w:tcPr>
            <w:tcW w:w="2268"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4 043 664,23</w:t>
            </w:r>
          </w:p>
        </w:tc>
        <w:tc>
          <w:tcPr>
            <w:tcW w:w="993"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142,32</w:t>
            </w:r>
          </w:p>
        </w:tc>
      </w:tr>
      <w:tr w:rsidR="00B52DE3">
        <w:trPr>
          <w:trHeight w:val="676"/>
        </w:trPr>
        <w:tc>
          <w:tcPr>
            <w:tcW w:w="624"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1.6</w:t>
            </w:r>
          </w:p>
        </w:tc>
        <w:tc>
          <w:tcPr>
            <w:tcW w:w="319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акции АО «Уссурийск-Электросеть»</w:t>
            </w:r>
          </w:p>
        </w:tc>
        <w:tc>
          <w:tcPr>
            <w:tcW w:w="227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929 127,40</w:t>
            </w:r>
          </w:p>
        </w:tc>
        <w:tc>
          <w:tcPr>
            <w:tcW w:w="2268"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929 127,40</w:t>
            </w:r>
          </w:p>
        </w:tc>
        <w:tc>
          <w:tcPr>
            <w:tcW w:w="993"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w:t>
            </w:r>
          </w:p>
        </w:tc>
      </w:tr>
      <w:tr w:rsidR="00B52DE3">
        <w:trPr>
          <w:trHeight w:val="908"/>
        </w:trPr>
        <w:tc>
          <w:tcPr>
            <w:tcW w:w="624"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1.7</w:t>
            </w:r>
          </w:p>
        </w:tc>
        <w:tc>
          <w:tcPr>
            <w:tcW w:w="319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Доля в уставном капитале ООО «РИА «Телемикс»</w:t>
            </w:r>
          </w:p>
        </w:tc>
        <w:tc>
          <w:tcPr>
            <w:tcW w:w="227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12 966,77</w:t>
            </w:r>
          </w:p>
        </w:tc>
        <w:tc>
          <w:tcPr>
            <w:tcW w:w="2268"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12 966,77</w:t>
            </w:r>
          </w:p>
        </w:tc>
        <w:tc>
          <w:tcPr>
            <w:tcW w:w="993"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w:t>
            </w:r>
          </w:p>
        </w:tc>
      </w:tr>
    </w:tbl>
    <w:p w:rsidR="00B52DE3" w:rsidRDefault="00B52DE3">
      <w:pPr>
        <w:widowControl w:val="0"/>
        <w:spacing w:line="360" w:lineRule="auto"/>
        <w:ind w:firstLine="708"/>
        <w:jc w:val="both"/>
        <w:rPr>
          <w:rFonts w:ascii="Times New Roman" w:hAnsi="Times New Roman" w:cs="Times New Roman"/>
          <w:sz w:val="28"/>
          <w:szCs w:val="28"/>
        </w:rPr>
      </w:pPr>
    </w:p>
    <w:p w:rsidR="00B52DE3" w:rsidRDefault="00DE73E3">
      <w:pPr>
        <w:spacing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Всего в реестре муниципального имущества Уссурийского городского округа Приморского края значится 12 479 объектов недвижимого имущества, из них в муниципальной казне 6 412 объектов (51,38 %). </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sz w:val="28"/>
          <w:szCs w:val="28"/>
        </w:rPr>
        <w:t xml:space="preserve">Состав объектов недвижимого имущества </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sz w:val="28"/>
          <w:szCs w:val="28"/>
        </w:rPr>
        <w:t>Уссурийского городского округа Приморского края</w:t>
      </w:r>
    </w:p>
    <w:p w:rsidR="00B52DE3" w:rsidRDefault="00B52DE3">
      <w:pPr>
        <w:widowControl w:val="0"/>
        <w:spacing w:after="0"/>
        <w:jc w:val="center"/>
        <w:rPr>
          <w:rFonts w:ascii="Times New Roman" w:hAnsi="Times New Roman" w:cs="Times New Roman"/>
          <w:b/>
          <w:bCs/>
          <w:sz w:val="28"/>
          <w:szCs w:val="28"/>
        </w:rPr>
      </w:pPr>
    </w:p>
    <w:tbl>
      <w:tblPr>
        <w:tblW w:w="9915" w:type="dxa"/>
        <w:tblInd w:w="-147" w:type="dxa"/>
        <w:tblLayout w:type="fixed"/>
        <w:tblLook w:val="04A0"/>
      </w:tblPr>
      <w:tblGrid>
        <w:gridCol w:w="598"/>
        <w:gridCol w:w="1987"/>
        <w:gridCol w:w="1705"/>
        <w:gridCol w:w="987"/>
        <w:gridCol w:w="1711"/>
        <w:gridCol w:w="990"/>
        <w:gridCol w:w="1086"/>
        <w:gridCol w:w="851"/>
      </w:tblGrid>
      <w:tr w:rsidR="00B52DE3">
        <w:trPr>
          <w:trHeight w:val="1712"/>
        </w:trPr>
        <w:tc>
          <w:tcPr>
            <w:tcW w:w="597" w:type="dxa"/>
            <w:vMerge w:val="restart"/>
            <w:tcBorders>
              <w:top w:val="single" w:sz="4" w:space="0" w:color="000000"/>
              <w:left w:val="single" w:sz="4" w:space="0" w:color="000000"/>
              <w:bottom w:val="single" w:sz="4" w:space="0" w:color="000000"/>
              <w:right w:val="single" w:sz="4" w:space="0" w:color="000000"/>
            </w:tcBorders>
            <w:vAlign w:val="center"/>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w:t>
            </w:r>
            <w:proofErr w:type="spellStart"/>
            <w:r>
              <w:rPr>
                <w:rFonts w:ascii="Times New Roman" w:eastAsia="Times New Roman" w:hAnsi="Times New Roman" w:cs="Times New Roman"/>
                <w:sz w:val="28"/>
                <w:szCs w:val="28"/>
              </w:rPr>
              <w:t>п</w:t>
            </w:r>
            <w:proofErr w:type="spell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1986" w:type="dxa"/>
            <w:vMerge w:val="restart"/>
            <w:tcBorders>
              <w:top w:val="single" w:sz="4" w:space="0" w:color="000000"/>
              <w:left w:val="single" w:sz="4" w:space="0" w:color="000000"/>
              <w:bottom w:val="single" w:sz="4" w:space="0" w:color="000000"/>
              <w:right w:val="single" w:sz="4" w:space="0" w:color="000000"/>
            </w:tcBorders>
            <w:vAlign w:val="center"/>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Наименование</w:t>
            </w:r>
          </w:p>
        </w:tc>
        <w:tc>
          <w:tcPr>
            <w:tcW w:w="2692" w:type="dxa"/>
            <w:gridSpan w:val="2"/>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На 01.01.2025г</w:t>
            </w:r>
          </w:p>
        </w:tc>
        <w:tc>
          <w:tcPr>
            <w:tcW w:w="2701" w:type="dxa"/>
            <w:gridSpan w:val="2"/>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На 01.01.2026г</w:t>
            </w:r>
          </w:p>
        </w:tc>
        <w:tc>
          <w:tcPr>
            <w:tcW w:w="1937" w:type="dxa"/>
            <w:gridSpan w:val="2"/>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В сравнении на 01.01.2026 года к 01.01.2025 года</w:t>
            </w:r>
          </w:p>
        </w:tc>
      </w:tr>
      <w:tr w:rsidR="00B52DE3">
        <w:trPr>
          <w:trHeight w:val="2160"/>
        </w:trPr>
        <w:tc>
          <w:tcPr>
            <w:tcW w:w="597" w:type="dxa"/>
            <w:vMerge/>
            <w:tcBorders>
              <w:top w:val="single" w:sz="4" w:space="0" w:color="000000"/>
              <w:left w:val="single" w:sz="4" w:space="0" w:color="000000"/>
              <w:bottom w:val="single" w:sz="4" w:space="0" w:color="000000"/>
              <w:right w:val="single" w:sz="4" w:space="0" w:color="000000"/>
            </w:tcBorders>
            <w:vAlign w:val="center"/>
          </w:tcPr>
          <w:p w:rsidR="00B52DE3" w:rsidRDefault="00B52DE3"/>
        </w:tc>
        <w:tc>
          <w:tcPr>
            <w:tcW w:w="1986" w:type="dxa"/>
            <w:vMerge/>
            <w:tcBorders>
              <w:top w:val="single" w:sz="4" w:space="0" w:color="000000"/>
              <w:left w:val="single" w:sz="4" w:space="0" w:color="000000"/>
              <w:bottom w:val="single" w:sz="4" w:space="0" w:color="000000"/>
              <w:right w:val="single" w:sz="4" w:space="0" w:color="000000"/>
            </w:tcBorders>
            <w:vAlign w:val="center"/>
          </w:tcPr>
          <w:p w:rsidR="00B52DE3" w:rsidRDefault="00B52DE3"/>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Стоимость, тыс. рублей</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proofErr w:type="spellStart"/>
            <w:r>
              <w:rPr>
                <w:rFonts w:ascii="Times New Roman" w:eastAsia="Times New Roman" w:hAnsi="Times New Roman" w:cs="Times New Roman"/>
                <w:sz w:val="28"/>
                <w:szCs w:val="28"/>
              </w:rPr>
              <w:t>Коли-чест-во</w:t>
            </w:r>
            <w:proofErr w:type="spellEnd"/>
            <w:r>
              <w:rPr>
                <w:rFonts w:ascii="Times New Roman" w:eastAsia="Times New Roman" w:hAnsi="Times New Roman" w:cs="Times New Roman"/>
                <w:sz w:val="28"/>
                <w:szCs w:val="28"/>
              </w:rPr>
              <w:t>, шт.</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Стоимость, тыс. рублей</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proofErr w:type="spellStart"/>
            <w:r>
              <w:rPr>
                <w:rFonts w:ascii="Times New Roman" w:eastAsia="Times New Roman" w:hAnsi="Times New Roman" w:cs="Times New Roman"/>
                <w:sz w:val="28"/>
                <w:szCs w:val="28"/>
              </w:rPr>
              <w:t>Коли-чест-во</w:t>
            </w:r>
            <w:proofErr w:type="spellEnd"/>
            <w:r>
              <w:rPr>
                <w:rFonts w:ascii="Times New Roman" w:eastAsia="Times New Roman" w:hAnsi="Times New Roman" w:cs="Times New Roman"/>
                <w:sz w:val="28"/>
                <w:szCs w:val="28"/>
              </w:rPr>
              <w:t>, шт.</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 xml:space="preserve">По </w:t>
            </w:r>
            <w:proofErr w:type="spellStart"/>
            <w:r>
              <w:rPr>
                <w:rFonts w:ascii="Times New Roman" w:eastAsia="Times New Roman" w:hAnsi="Times New Roman" w:cs="Times New Roman"/>
                <w:sz w:val="28"/>
                <w:szCs w:val="28"/>
              </w:rPr>
              <w:t>стои-мости</w:t>
            </w:r>
            <w:proofErr w:type="spellEnd"/>
          </w:p>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 xml:space="preserve">По </w:t>
            </w:r>
            <w:proofErr w:type="spellStart"/>
            <w:r>
              <w:rPr>
                <w:rFonts w:ascii="Times New Roman" w:eastAsia="Times New Roman" w:hAnsi="Times New Roman" w:cs="Times New Roman"/>
                <w:sz w:val="28"/>
                <w:szCs w:val="28"/>
              </w:rPr>
              <w:t>ко-ли-чест-ву</w:t>
            </w:r>
            <w:proofErr w:type="spellEnd"/>
            <w:r>
              <w:rPr>
                <w:rFonts w:ascii="Times New Roman" w:eastAsia="Times New Roman" w:hAnsi="Times New Roman" w:cs="Times New Roman"/>
                <w:sz w:val="28"/>
                <w:szCs w:val="28"/>
              </w:rPr>
              <w:t xml:space="preserve">           %</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w:t>
            </w: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2</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3</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4</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6</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7</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8</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9</w:t>
            </w:r>
          </w:p>
        </w:tc>
      </w:tr>
      <w:tr w:rsidR="00B52DE3">
        <w:trPr>
          <w:trHeight w:val="802"/>
        </w:trPr>
        <w:tc>
          <w:tcPr>
            <w:tcW w:w="59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w:t>
            </w: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Количество объектов недвижимого  имущества  в Реестре муниципального имущества Уссурийского городского округа Приморского края, всего</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ind w:left="-108" w:right="-108"/>
              <w:jc w:val="center"/>
              <w:rPr>
                <w:rFonts w:ascii="Times New Roman" w:hAnsi="Times New Roman" w:cs="Times New Roman"/>
                <w:sz w:val="28"/>
                <w:szCs w:val="28"/>
              </w:rPr>
            </w:pPr>
            <w:r>
              <w:rPr>
                <w:rFonts w:ascii="Times New Roman" w:eastAsia="Times New Roman" w:hAnsi="Times New Roman" w:cs="Times New Roman"/>
                <w:sz w:val="28"/>
                <w:szCs w:val="28"/>
              </w:rPr>
              <w:t>18 068 080,80</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12 831</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ind w:left="-108" w:right="-108"/>
              <w:jc w:val="center"/>
              <w:rPr>
                <w:rFonts w:ascii="Times New Roman" w:hAnsi="Times New Roman" w:cs="Times New Roman"/>
                <w:sz w:val="28"/>
                <w:szCs w:val="28"/>
              </w:rPr>
            </w:pPr>
            <w:r>
              <w:rPr>
                <w:rFonts w:ascii="Times New Roman" w:eastAsia="Times New Roman" w:hAnsi="Times New Roman" w:cs="Times New Roman"/>
                <w:color w:val="000000"/>
                <w:sz w:val="28"/>
                <w:szCs w:val="28"/>
              </w:rPr>
              <w:t>19 521 344,22</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color w:val="000000"/>
                <w:sz w:val="28"/>
                <w:szCs w:val="28"/>
              </w:rPr>
              <w:t>12 479</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108,04</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97,26</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в том числе:</w:t>
            </w:r>
          </w:p>
        </w:tc>
        <w:tc>
          <w:tcPr>
            <w:tcW w:w="1705"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98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1711"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1086"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r>
      <w:tr w:rsidR="00B52DE3">
        <w:trPr>
          <w:trHeight w:val="1690"/>
        </w:trPr>
        <w:tc>
          <w:tcPr>
            <w:tcW w:w="59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1.1.</w:t>
            </w: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имущество, закрепленное  за </w:t>
            </w:r>
            <w:proofErr w:type="spellStart"/>
            <w:r>
              <w:rPr>
                <w:rFonts w:ascii="Times New Roman" w:eastAsia="Times New Roman" w:hAnsi="Times New Roman" w:cs="Times New Roman"/>
                <w:sz w:val="28"/>
                <w:szCs w:val="28"/>
              </w:rPr>
              <w:t>муниципаль-ными</w:t>
            </w:r>
            <w:proofErr w:type="spellEnd"/>
            <w:r>
              <w:rPr>
                <w:rFonts w:ascii="Times New Roman" w:eastAsia="Times New Roman" w:hAnsi="Times New Roman" w:cs="Times New Roman"/>
                <w:sz w:val="28"/>
                <w:szCs w:val="28"/>
              </w:rPr>
              <w:t xml:space="preserve"> предприятиями на праве </w:t>
            </w:r>
            <w:proofErr w:type="spellStart"/>
            <w:r>
              <w:rPr>
                <w:rFonts w:ascii="Times New Roman" w:eastAsia="Times New Roman" w:hAnsi="Times New Roman" w:cs="Times New Roman"/>
                <w:sz w:val="28"/>
                <w:szCs w:val="28"/>
              </w:rPr>
              <w:t>хозяйствен-ного</w:t>
            </w:r>
            <w:proofErr w:type="spellEnd"/>
            <w:r>
              <w:rPr>
                <w:rFonts w:ascii="Times New Roman" w:eastAsia="Times New Roman" w:hAnsi="Times New Roman" w:cs="Times New Roman"/>
                <w:sz w:val="28"/>
                <w:szCs w:val="28"/>
              </w:rPr>
              <w:t xml:space="preserve"> ведения, всего,</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3 152 073,40</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4 034</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3 807 921,16</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4 314</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120,81</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106,94</w:t>
            </w:r>
          </w:p>
        </w:tc>
      </w:tr>
      <w:tr w:rsidR="00B52DE3">
        <w:trPr>
          <w:trHeight w:val="250"/>
        </w:trPr>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в том числе:</w:t>
            </w:r>
          </w:p>
        </w:tc>
        <w:tc>
          <w:tcPr>
            <w:tcW w:w="1705"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98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1711"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1086"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унитарными</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3 152 073,40</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4 034</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3 807 921,16</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4 314</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120,81</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106,94</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lastRenderedPageBreak/>
              <w:t>1.2.</w:t>
            </w: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Имущество, закрепленное  за </w:t>
            </w:r>
            <w:proofErr w:type="spellStart"/>
            <w:r>
              <w:rPr>
                <w:rFonts w:ascii="Times New Roman" w:eastAsia="Times New Roman" w:hAnsi="Times New Roman" w:cs="Times New Roman"/>
                <w:sz w:val="28"/>
                <w:szCs w:val="28"/>
              </w:rPr>
              <w:t>муниципаль-ными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учреждения-ми</w:t>
            </w:r>
            <w:proofErr w:type="spellEnd"/>
            <w:r>
              <w:rPr>
                <w:rFonts w:ascii="Times New Roman" w:eastAsia="Times New Roman" w:hAnsi="Times New Roman" w:cs="Times New Roman"/>
                <w:sz w:val="28"/>
                <w:szCs w:val="28"/>
              </w:rPr>
              <w:t>, всего</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6 683 275,20</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1 611</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7 365 764,56</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1 753</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110,21</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108,81</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в том числе:</w:t>
            </w:r>
          </w:p>
        </w:tc>
        <w:tc>
          <w:tcPr>
            <w:tcW w:w="1705"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98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1711"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1086"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r>
      <w:tr w:rsidR="00B52DE3">
        <w:trPr>
          <w:trHeight w:val="727"/>
        </w:trPr>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бюджетными</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2 671 552,33</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290</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2 839 360,34</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318</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106,28</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109,66</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автономными</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1 019 937,42</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37</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1 191 240,29</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41</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116,80</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110,81</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казенными</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2 991 785,45</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1 284</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3 335 163,93</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1 394</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111,48</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108,57</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1.3.</w:t>
            </w: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proofErr w:type="spellStart"/>
            <w:r>
              <w:rPr>
                <w:rFonts w:ascii="Times New Roman" w:eastAsia="Times New Roman" w:hAnsi="Times New Roman" w:cs="Times New Roman"/>
                <w:sz w:val="28"/>
                <w:szCs w:val="28"/>
              </w:rPr>
              <w:t>Муниципаль-ная</w:t>
            </w:r>
            <w:proofErr w:type="spellEnd"/>
            <w:r>
              <w:rPr>
                <w:rFonts w:ascii="Times New Roman" w:eastAsia="Times New Roman" w:hAnsi="Times New Roman" w:cs="Times New Roman"/>
                <w:sz w:val="28"/>
                <w:szCs w:val="28"/>
              </w:rPr>
              <w:t xml:space="preserve"> казна (балансовая стоимость), всего</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8 232 732,2</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7 186</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lang w:val="en-US"/>
              </w:rPr>
              <w:t>8 347 658</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en-US"/>
              </w:rPr>
              <w:t>5</w:t>
            </w:r>
            <w:r>
              <w:rPr>
                <w:rFonts w:ascii="Times New Roman" w:eastAsia="Times New Roman" w:hAnsi="Times New Roman" w:cs="Times New Roman"/>
                <w:color w:val="000000"/>
                <w:sz w:val="28"/>
                <w:szCs w:val="28"/>
              </w:rPr>
              <w:t>0</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6 412</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101,40</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89,23</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из них:</w:t>
            </w:r>
          </w:p>
        </w:tc>
        <w:tc>
          <w:tcPr>
            <w:tcW w:w="1705"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98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sz w:val="28"/>
                <w:szCs w:val="28"/>
              </w:rPr>
            </w:pPr>
          </w:p>
        </w:tc>
        <w:tc>
          <w:tcPr>
            <w:tcW w:w="1711"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color w:val="000000"/>
                <w:sz w:val="28"/>
                <w:szCs w:val="28"/>
              </w:rPr>
            </w:pPr>
          </w:p>
        </w:tc>
        <w:tc>
          <w:tcPr>
            <w:tcW w:w="990"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color w:val="000000"/>
                <w:sz w:val="28"/>
                <w:szCs w:val="28"/>
              </w:rPr>
            </w:pPr>
          </w:p>
        </w:tc>
        <w:tc>
          <w:tcPr>
            <w:tcW w:w="1086"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color w:val="000000"/>
                <w:sz w:val="28"/>
                <w:szCs w:val="28"/>
              </w:rPr>
            </w:pPr>
          </w:p>
        </w:tc>
        <w:tc>
          <w:tcPr>
            <w:tcW w:w="851"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jc w:val="right"/>
              <w:rPr>
                <w:rFonts w:ascii="Times New Roman" w:hAnsi="Times New Roman" w:cs="Times New Roman"/>
                <w:color w:val="000000"/>
                <w:sz w:val="28"/>
                <w:szCs w:val="28"/>
              </w:rPr>
            </w:pP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жилой фонд</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4 227 294,28</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6 062</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4 113 209,05</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5 335</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97,30</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88,01</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нежилые помещения</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97 682,75</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167</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481 031,43</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147</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492,44</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88,02</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сооружения</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856 925,56</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339</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432 766,97</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324</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50,50</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95,58</w:t>
            </w:r>
          </w:p>
        </w:tc>
      </w:tr>
      <w:tr w:rsidR="00B52DE3">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земельные участки</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2 620 527,56</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601</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2 907 976,46</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604</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110,97</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100,5</w:t>
            </w:r>
          </w:p>
        </w:tc>
      </w:tr>
      <w:tr w:rsidR="00B52DE3">
        <w:trPr>
          <w:trHeight w:val="325"/>
        </w:trPr>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объекты </w:t>
            </w:r>
            <w:proofErr w:type="spellStart"/>
            <w:r>
              <w:rPr>
                <w:rFonts w:ascii="Times New Roman" w:eastAsia="Times New Roman" w:hAnsi="Times New Roman" w:cs="Times New Roman"/>
                <w:sz w:val="28"/>
                <w:szCs w:val="28"/>
              </w:rPr>
              <w:t>незавершен-ного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строительст-ва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автомобиль-ные</w:t>
            </w:r>
            <w:proofErr w:type="spellEnd"/>
            <w:r>
              <w:rPr>
                <w:rFonts w:ascii="Times New Roman" w:eastAsia="Times New Roman" w:hAnsi="Times New Roman" w:cs="Times New Roman"/>
                <w:sz w:val="28"/>
                <w:szCs w:val="28"/>
              </w:rPr>
              <w:t xml:space="preserve"> дороги</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20 185,70</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16</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2 558,24</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1</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12,67</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6,25</w:t>
            </w:r>
          </w:p>
        </w:tc>
      </w:tr>
      <w:tr w:rsidR="00B52DE3">
        <w:trPr>
          <w:trHeight w:val="325"/>
        </w:trPr>
        <w:tc>
          <w:tcPr>
            <w:tcW w:w="597" w:type="dxa"/>
            <w:tcBorders>
              <w:top w:val="single" w:sz="4" w:space="0" w:color="000000"/>
              <w:left w:val="single" w:sz="4" w:space="0" w:color="000000"/>
              <w:bottom w:val="single" w:sz="4" w:space="0" w:color="000000"/>
              <w:right w:val="single" w:sz="4" w:space="0" w:color="000000"/>
            </w:tcBorders>
          </w:tcPr>
          <w:p w:rsidR="00B52DE3" w:rsidRDefault="00B52DE3">
            <w:pPr>
              <w:spacing w:line="240" w:lineRule="auto"/>
              <w:rPr>
                <w:rFonts w:ascii="Times New Roman" w:hAnsi="Times New Roman" w:cs="Times New Roman"/>
                <w:sz w:val="28"/>
                <w:szCs w:val="28"/>
              </w:rPr>
            </w:pPr>
          </w:p>
        </w:tc>
        <w:tc>
          <w:tcPr>
            <w:tcW w:w="1986" w:type="dxa"/>
            <w:tcBorders>
              <w:top w:val="single" w:sz="4" w:space="0" w:color="000000"/>
              <w:left w:val="single" w:sz="4" w:space="0" w:color="000000"/>
              <w:bottom w:val="single" w:sz="4" w:space="0" w:color="000000"/>
              <w:right w:val="single" w:sz="4" w:space="0" w:color="000000"/>
            </w:tcBorders>
          </w:tcPr>
          <w:p w:rsidR="00B52DE3" w:rsidRDefault="00DE73E3">
            <w:pPr>
              <w:pStyle w:val="afff0"/>
              <w:spacing w:before="0" w:after="0"/>
              <w:rPr>
                <w:sz w:val="28"/>
                <w:szCs w:val="28"/>
              </w:rPr>
            </w:pPr>
            <w:r>
              <w:rPr>
                <w:rFonts w:eastAsia="Times New Roman"/>
                <w:sz w:val="28"/>
                <w:szCs w:val="28"/>
              </w:rPr>
              <w:t xml:space="preserve">единый недвижимый </w:t>
            </w:r>
            <w:r>
              <w:rPr>
                <w:rFonts w:eastAsia="Times New Roman"/>
                <w:sz w:val="28"/>
                <w:szCs w:val="28"/>
              </w:rPr>
              <w:lastRenderedPageBreak/>
              <w:t>комплекс</w:t>
            </w:r>
          </w:p>
        </w:tc>
        <w:tc>
          <w:tcPr>
            <w:tcW w:w="170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lastRenderedPageBreak/>
              <w:t>410 116,35</w:t>
            </w:r>
          </w:p>
        </w:tc>
        <w:tc>
          <w:tcPr>
            <w:tcW w:w="987"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1</w:t>
            </w:r>
          </w:p>
        </w:tc>
        <w:tc>
          <w:tcPr>
            <w:tcW w:w="171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410 116,35</w:t>
            </w:r>
          </w:p>
        </w:tc>
        <w:tc>
          <w:tcPr>
            <w:tcW w:w="990"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1</w:t>
            </w:r>
          </w:p>
        </w:tc>
        <w:tc>
          <w:tcPr>
            <w:tcW w:w="1086"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0</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right"/>
              <w:rPr>
                <w:rFonts w:ascii="Times New Roman" w:hAnsi="Times New Roman" w:cs="Times New Roman"/>
                <w:sz w:val="28"/>
                <w:szCs w:val="28"/>
              </w:rPr>
            </w:pPr>
            <w:r>
              <w:rPr>
                <w:rFonts w:ascii="Times New Roman" w:eastAsia="Times New Roman" w:hAnsi="Times New Roman" w:cs="Times New Roman"/>
                <w:color w:val="000000"/>
                <w:sz w:val="28"/>
                <w:szCs w:val="28"/>
              </w:rPr>
              <w:t>-</w:t>
            </w:r>
          </w:p>
        </w:tc>
      </w:tr>
    </w:tbl>
    <w:p w:rsidR="00B52DE3" w:rsidRDefault="00B52DE3">
      <w:pPr>
        <w:pStyle w:val="ConsPlusNonformat"/>
        <w:widowControl w:val="0"/>
        <w:tabs>
          <w:tab w:val="left" w:pos="720"/>
        </w:tabs>
        <w:spacing w:line="360" w:lineRule="auto"/>
        <w:ind w:firstLine="709"/>
        <w:jc w:val="both"/>
        <w:rPr>
          <w:rFonts w:ascii="Times New Roman" w:hAnsi="Times New Roman" w:cs="Times New Roman"/>
          <w:color w:val="FF0000"/>
          <w:sz w:val="28"/>
          <w:szCs w:val="28"/>
        </w:rPr>
      </w:pPr>
    </w:p>
    <w:p w:rsidR="00B52DE3" w:rsidRDefault="00DE73E3">
      <w:pPr>
        <w:pStyle w:val="ConsPlusNonformat"/>
        <w:tabs>
          <w:tab w:val="left" w:pos="720"/>
        </w:tabs>
        <w:spacing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По состоянию на 01 января 2026 года в Реестре муниципального имущества Уссурийского городского округа Приморского края учитывается 98 организаций муниципальной формы собственности, в том числе                              97 муниципальных учреждений и 1 муниципальное предприятие.</w:t>
      </w:r>
    </w:p>
    <w:p w:rsidR="00B52DE3" w:rsidRDefault="00DE73E3">
      <w:pPr>
        <w:pStyle w:val="ConsPlusNonformat"/>
        <w:tabs>
          <w:tab w:val="left" w:pos="720"/>
        </w:tabs>
        <w:spacing w:line="360" w:lineRule="auto"/>
        <w:ind w:firstLine="709"/>
        <w:jc w:val="both"/>
        <w:rPr>
          <w:rFonts w:ascii="Times New Roman" w:hAnsi="Times New Roman" w:cs="Times New Roman"/>
        </w:rPr>
      </w:pPr>
      <w:r>
        <w:rPr>
          <w:rFonts w:ascii="Times New Roman" w:eastAsia="Times New Roman" w:hAnsi="Times New Roman" w:cs="Times New Roman"/>
          <w:sz w:val="28"/>
          <w:szCs w:val="28"/>
        </w:rPr>
        <w:t>Доходы от перечисления части прибыли, остающейся после уплаты налогов и иных обязательных платежей муниципальных унитарных предприятий в 2025 году поступили в сумме 423,39 тыс. рублей (МУП «ТК Телемикс» – часть прибыли за 2023 год). Дивиденды по акциям, принадлежащим Уссурийскому городскому округу, поступили в сумме 2 083,93 тыс. рублей  (АО «Аптека № 3»).</w:t>
      </w:r>
    </w:p>
    <w:p w:rsidR="00B52DE3" w:rsidRDefault="00DE73E3">
      <w:pPr>
        <w:pStyle w:val="ConsPlusNonformat"/>
        <w:tabs>
          <w:tab w:val="left" w:pos="720"/>
        </w:tabs>
        <w:spacing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Реестре муниципального имущества Уссурийского городского округа Приморского края учитываются вклады Уссурийского городского округа в хозяйствующие общества: АО «Аптека № 3» (количество акций – 8 297); АО «Уссурийское предприятие тепловых сетей» (количество акций – 4 043 664 229); АО «Уссурийск-Электросеть» (количество акций – 929 127 395), ООО Рекламное информационное агентство «Телемикс» (100 % доли в уставном капитале на сумму 12 966, 77 тыс.руб.).</w:t>
      </w:r>
    </w:p>
    <w:p w:rsidR="00B52DE3" w:rsidRDefault="00DE73E3">
      <w:pPr>
        <w:pStyle w:val="ConsPlusNonformat"/>
        <w:tabs>
          <w:tab w:val="left" w:pos="720"/>
        </w:tabs>
        <w:spacing w:line="360" w:lineRule="auto"/>
        <w:ind w:firstLine="709"/>
        <w:jc w:val="both"/>
        <w:rPr>
          <w:rFonts w:ascii="Times New Roman" w:hAnsi="Times New Roman" w:cs="Times New Roman"/>
        </w:rPr>
      </w:pPr>
      <w:r>
        <w:rPr>
          <w:rFonts w:ascii="Times New Roman" w:eastAsia="Times New Roman" w:hAnsi="Times New Roman" w:cs="Times New Roman"/>
          <w:sz w:val="28"/>
          <w:szCs w:val="28"/>
        </w:rPr>
        <w:t>Имущество муниципальной казны (движимое и недвижимое) Уссурийского городского округа Приморского края составляют 6 601 объект.</w:t>
      </w:r>
    </w:p>
    <w:p w:rsidR="00B52DE3" w:rsidRDefault="00DE73E3">
      <w:pPr>
        <w:widowControl w:val="0"/>
        <w:spacing w:after="0" w:line="348" w:lineRule="auto"/>
        <w:ind w:firstLine="720"/>
        <w:jc w:val="both"/>
        <w:rPr>
          <w:rFonts w:ascii="Times New Roman" w:hAnsi="Times New Roman" w:cs="Times New Roman"/>
        </w:rPr>
      </w:pPr>
      <w:r>
        <w:rPr>
          <w:rFonts w:ascii="Times New Roman" w:eastAsia="Times New Roman" w:hAnsi="Times New Roman" w:cs="Times New Roman"/>
          <w:color w:val="000000"/>
          <w:sz w:val="28"/>
          <w:szCs w:val="28"/>
        </w:rPr>
        <w:t>В 2025 году заключен договор безвозмездного пользования с </w:t>
      </w:r>
      <w:proofErr w:type="spellStart"/>
      <w:r>
        <w:rPr>
          <w:rFonts w:ascii="Times New Roman" w:eastAsia="Times New Roman" w:hAnsi="Times New Roman" w:cs="Times New Roman"/>
          <w:color w:val="000000"/>
          <w:sz w:val="28"/>
          <w:szCs w:val="28"/>
        </w:rPr>
        <w:t>системообразующей</w:t>
      </w:r>
      <w:proofErr w:type="spellEnd"/>
      <w:r>
        <w:rPr>
          <w:rFonts w:ascii="Times New Roman" w:eastAsia="Times New Roman" w:hAnsi="Times New Roman" w:cs="Times New Roman"/>
          <w:color w:val="000000"/>
          <w:sz w:val="28"/>
          <w:szCs w:val="28"/>
        </w:rPr>
        <w:t xml:space="preserve"> территориальной сетевой компанией Приморского края – акционерным обществом «Дальневосточная распределительная сетевая компания» (далее – СТСО) на 229 объектов </w:t>
      </w:r>
      <w:proofErr w:type="spellStart"/>
      <w:r>
        <w:rPr>
          <w:rFonts w:ascii="Times New Roman" w:eastAsia="Times New Roman" w:hAnsi="Times New Roman" w:cs="Times New Roman"/>
          <w:color w:val="000000"/>
          <w:sz w:val="28"/>
          <w:szCs w:val="28"/>
        </w:rPr>
        <w:t>электросетевого</w:t>
      </w:r>
      <w:proofErr w:type="spellEnd"/>
      <w:r>
        <w:rPr>
          <w:rFonts w:ascii="Times New Roman" w:eastAsia="Times New Roman" w:hAnsi="Times New Roman" w:cs="Times New Roman"/>
          <w:color w:val="000000"/>
          <w:sz w:val="28"/>
          <w:szCs w:val="28"/>
        </w:rPr>
        <w:t xml:space="preserve"> хозяйства Уссурийского городского округа Приморского края с отлагательным условием передачи: 5 объектов свободных от прав третьих лиц во владение и пользование СТСО с 01 января 2026 года, и 224 объектов – по истечении в 2027-2029 годах срока действия договоров безвозмездного </w:t>
      </w:r>
      <w:r>
        <w:rPr>
          <w:rFonts w:ascii="Times New Roman" w:eastAsia="Times New Roman" w:hAnsi="Times New Roman" w:cs="Times New Roman"/>
          <w:color w:val="000000"/>
          <w:sz w:val="28"/>
          <w:szCs w:val="28"/>
        </w:rPr>
        <w:lastRenderedPageBreak/>
        <w:t>пользования, заключенных с акционерным обществом «Уссурийск-Электросеть».</w:t>
      </w:r>
    </w:p>
    <w:p w:rsidR="00B52DE3" w:rsidRDefault="00DE73E3">
      <w:pPr>
        <w:pStyle w:val="afff2"/>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 состоянию на 01 января 2026 года действует 93 договора аренды муниципального имущества, 73 договора безвозмездного пользования,                        на 01 января 2025 года – 102 договора аренды и 43 договора безвозмездного пользования. </w:t>
      </w:r>
    </w:p>
    <w:p w:rsidR="00B52DE3" w:rsidRDefault="00DE73E3">
      <w:pPr>
        <w:pStyle w:val="afff2"/>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Площадь нежилого фонда, сдаваемого в аренду, составила                                    36,19 тыс. кв.м. при  38,61 тыс. кв.м.  на 01 января 2025 года. Протяженность переданных в аренду тепловых сетей в 2025 году составляет 38,33 тыс.м.</w:t>
      </w:r>
    </w:p>
    <w:p w:rsidR="00B52DE3" w:rsidRDefault="00DE73E3">
      <w:pPr>
        <w:pStyle w:val="afff2"/>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Площадь нежилого фонда, переданного в безвозмездное пользование,  составила 15,03 тыс. кв.м при 4,7 тыс. кв.м на 01 января 2025 года.  </w:t>
      </w:r>
    </w:p>
    <w:p w:rsidR="00B52DE3" w:rsidRDefault="00DE73E3">
      <w:pPr>
        <w:pStyle w:val="btbodytext"/>
        <w:spacing w:line="360" w:lineRule="auto"/>
        <w:ind w:firstLine="708"/>
      </w:pPr>
      <w:r>
        <w:rPr>
          <w:sz w:val="28"/>
          <w:szCs w:val="28"/>
        </w:rPr>
        <w:t>План поступления доходов от сдачи в аренду имущества муниципальной казны составил 18 140,00 тыс. рублей, фактическое поступление составило 23 949,64 тыс. рублей. План по поступлениям  доходов от сдачи муниципального имущества в аренду перевыполнен на 32,0 %.</w:t>
      </w:r>
    </w:p>
    <w:p w:rsidR="00B52DE3" w:rsidRDefault="00DE73E3">
      <w:pPr>
        <w:pStyle w:val="btbodytext"/>
        <w:spacing w:line="360" w:lineRule="auto"/>
        <w:ind w:firstLine="708"/>
      </w:pPr>
      <w:r>
        <w:rPr>
          <w:color w:val="000000"/>
          <w:sz w:val="28"/>
          <w:szCs w:val="28"/>
        </w:rPr>
        <w:t>В целях достижения результатов национального проекта «Эффективная и конкурентная экономика</w:t>
      </w:r>
      <w:r>
        <w:rPr>
          <w:sz w:val="28"/>
          <w:szCs w:val="28"/>
        </w:rPr>
        <w:t xml:space="preserve">»  в  2025 году  увеличен перечень  поддержки субъектов малого и среднего предпринимательства  на  16,7 %. </w:t>
      </w:r>
    </w:p>
    <w:p w:rsidR="00B52DE3" w:rsidRDefault="00B52DE3">
      <w:pPr>
        <w:pStyle w:val="btbodytext"/>
        <w:ind w:firstLine="708"/>
        <w:rPr>
          <w:color w:val="FF0000"/>
          <w:sz w:val="28"/>
          <w:szCs w:val="28"/>
        </w:rPr>
      </w:pPr>
    </w:p>
    <w:p w:rsidR="00B52DE3" w:rsidRDefault="00DE73E3">
      <w:pPr>
        <w:pStyle w:val="2f6"/>
        <w:keepNext w:val="0"/>
        <w:spacing w:before="0"/>
        <w:ind w:left="0"/>
      </w:pPr>
      <w:bookmarkStart w:id="20" w:name="_Toc21"/>
      <w:r>
        <w:t>Распоряжение муниципальным имуществом</w:t>
      </w:r>
      <w:bookmarkEnd w:id="20"/>
    </w:p>
    <w:p w:rsidR="00B52DE3" w:rsidRDefault="00B52DE3">
      <w:pPr>
        <w:pStyle w:val="2f6"/>
        <w:keepNext w:val="0"/>
        <w:spacing w:before="0"/>
      </w:pPr>
    </w:p>
    <w:p w:rsidR="00B52DE3" w:rsidRDefault="00DE73E3">
      <w:pPr>
        <w:pStyle w:val="aff8"/>
        <w:spacing w:after="0" w:line="360" w:lineRule="auto"/>
        <w:ind w:firstLine="709"/>
        <w:jc w:val="both"/>
      </w:pPr>
      <w:r>
        <w:rPr>
          <w:sz w:val="28"/>
          <w:szCs w:val="28"/>
        </w:rPr>
        <w:t xml:space="preserve">По прогнозному плану (программе) приватизации 2024-2025 годов в рамках Федерального закона от 21 декабря 2001 года № 178-ФЗ «О приватизации государственного и муниципального имущества» приватизировано 5 объектов недвижимости. При плане поступлений денежных средств 10 658,35 тыс. руб. фактическое поступление  составило 9 745,12 тыс. руб. от продажи имущества и 3 379,70 тыс. руб. за земельные участки под проданными объектами недвижимости. В 2025 году план </w:t>
      </w:r>
      <w:r>
        <w:rPr>
          <w:sz w:val="28"/>
          <w:szCs w:val="28"/>
        </w:rPr>
        <w:lastRenderedPageBreak/>
        <w:t>по поступлению средств от продажи муниципального имущества выполнен на 91,43 %.</w:t>
      </w:r>
    </w:p>
    <w:p w:rsidR="00B52DE3" w:rsidRDefault="00DE73E3">
      <w:pPr>
        <w:pStyle w:val="aff8"/>
        <w:spacing w:after="0" w:line="360" w:lineRule="auto"/>
        <w:ind w:firstLine="709"/>
        <w:jc w:val="both"/>
      </w:pPr>
      <w:r>
        <w:rPr>
          <w:sz w:val="28"/>
          <w:szCs w:val="28"/>
        </w:rPr>
        <w:t>В 2025 году были приватизированы путем внесения в уставные капиталы акционерных обществ 14 объектов транспортных средств, 40 объектов движимого имущества, включенных в прогнозный план 2025 года. Увеличение размера уставных капиталов акционерных обществ в отчетном году: АО «Уссурийское предприятие тепловых сетей» на 1 918,47 тыс. руб., АО «Уссурийск-Электросеть» на 50 081,97 тыс.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(далее – 159-ФЗ) в отчетном году заключен               1 договор купли-продажи недвижимого имущества </w:t>
      </w:r>
      <w:r>
        <w:rPr>
          <w:rFonts w:ascii="Times New Roman" w:eastAsia="Times New Roman" w:hAnsi="Times New Roman" w:cs="Times New Roman"/>
          <w:bCs/>
          <w:sz w:val="28"/>
          <w:szCs w:val="28"/>
        </w:rPr>
        <w:t>(от 21 июля 2025 года № 01/2025 с ООО «</w:t>
      </w:r>
      <w:proofErr w:type="spellStart"/>
      <w:r>
        <w:rPr>
          <w:rFonts w:ascii="Times New Roman" w:eastAsia="Times New Roman" w:hAnsi="Times New Roman" w:cs="Times New Roman"/>
          <w:bCs/>
          <w:sz w:val="28"/>
          <w:szCs w:val="28"/>
        </w:rPr>
        <w:t>Ариал</w:t>
      </w:r>
      <w:proofErr w:type="spellEnd"/>
      <w:r>
        <w:rPr>
          <w:rFonts w:ascii="Times New Roman" w:eastAsia="Times New Roman" w:hAnsi="Times New Roman" w:cs="Times New Roman"/>
          <w:bCs/>
          <w:sz w:val="28"/>
          <w:szCs w:val="28"/>
        </w:rPr>
        <w:t>»)</w:t>
      </w:r>
      <w:r>
        <w:rPr>
          <w:rFonts w:ascii="Times New Roman" w:eastAsia="Times New Roman" w:hAnsi="Times New Roman" w:cs="Times New Roman"/>
          <w:sz w:val="28"/>
          <w:szCs w:val="28"/>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При плане поступлений денежных средств на сумму                                       4 684,71 тыс. руб. от продажи арендованного имущества фактическое поступление (с учетом договоров купли-продажи, заключенных с рассрочкой платежа на 5 лет) составило 5 046,72 тыс. руб. План перевыполнен на 7,7 %. </w:t>
      </w:r>
    </w:p>
    <w:p w:rsidR="00B52DE3" w:rsidRDefault="00DE73E3">
      <w:pPr>
        <w:pStyle w:val="afff2"/>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 состоянию на 31 декабря 2025 года с даты принятия 159-ФЗ  от субъектов малого и среднего предпринимательства поступило 203 заявления на выкуп арендованного имущества, из них 163 субъекта  заключили договоры купли-продажи муниципального имущества, в том числе с рассрочкой платежа на пять лет. </w:t>
      </w:r>
    </w:p>
    <w:p w:rsidR="00B52DE3" w:rsidRDefault="00DE73E3">
      <w:pPr>
        <w:pStyle w:val="afff2"/>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 состоянию на 31 декабря 2025 года, начиная с 1991 года, приватизировано 51 984 квартиры, в том числе за 2025 год – 232 квартиры.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Формирование муниципальной собственности осуществлялось </w:t>
      </w:r>
      <w:r>
        <w:rPr>
          <w:rFonts w:ascii="Times New Roman" w:eastAsia="Times New Roman" w:hAnsi="Times New Roman" w:cs="Times New Roman"/>
          <w:color w:val="000000"/>
          <w:sz w:val="28"/>
          <w:szCs w:val="28"/>
        </w:rPr>
        <w:t xml:space="preserve">в соответствии с разграничением полномочий между федеральными органами </w:t>
      </w:r>
      <w:r>
        <w:rPr>
          <w:rFonts w:ascii="Times New Roman" w:eastAsia="Times New Roman" w:hAnsi="Times New Roman" w:cs="Times New Roman"/>
          <w:color w:val="000000"/>
          <w:sz w:val="28"/>
          <w:szCs w:val="28"/>
        </w:rPr>
        <w:lastRenderedPageBreak/>
        <w:t xml:space="preserve">государственной власти, органами власти субъекта Российской Федерации и органами местного самоуправления, а также путем принятия имущества в муниципальную собственность, необходимого для решения вопросов местного значения, из различных источников формирования.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 2025 году в муниципальную собственность Уссурийского городского округа Приморского края принято 487 объектов (при плане 195 объектов),             в том числе:</w:t>
      </w:r>
    </w:p>
    <w:p w:rsidR="00B52DE3" w:rsidRDefault="00DE73E3">
      <w:pPr>
        <w:pStyle w:val="afff2"/>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жилые помещения – 109 объектов;</w:t>
      </w:r>
    </w:p>
    <w:p w:rsidR="00B52DE3" w:rsidRDefault="00DE73E3">
      <w:pPr>
        <w:pStyle w:val="afff2"/>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нежилые помещения и другие виды недвижимого имущества, в том числе земельные участки – 292 объекта;</w:t>
      </w:r>
    </w:p>
    <w:p w:rsidR="00B52DE3" w:rsidRDefault="00DE73E3">
      <w:pPr>
        <w:pStyle w:val="afff2"/>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движимое имущество – 86 объектов.</w:t>
      </w:r>
    </w:p>
    <w:p w:rsidR="00B52DE3" w:rsidRDefault="00DE73E3">
      <w:pPr>
        <w:pStyle w:val="aff8"/>
        <w:spacing w:after="0" w:line="360" w:lineRule="auto"/>
        <w:ind w:firstLine="709"/>
        <w:jc w:val="both"/>
      </w:pPr>
      <w:r>
        <w:rPr>
          <w:sz w:val="28"/>
          <w:szCs w:val="28"/>
        </w:rPr>
        <w:t xml:space="preserve">В рамках возложенных полномочий, поданы заявления                                  о постановке на учет бесхозяйных недвижимых вещей в органе регистрации прав в отношении 217 объектов недвижимого имущества (при плане –                       50 объектов). </w:t>
      </w:r>
    </w:p>
    <w:p w:rsidR="00B52DE3" w:rsidRDefault="00DE73E3">
      <w:pPr>
        <w:pStyle w:val="aff8"/>
        <w:widowControl w:val="0"/>
        <w:spacing w:after="0" w:line="360" w:lineRule="auto"/>
        <w:ind w:firstLine="709"/>
        <w:jc w:val="both"/>
      </w:pPr>
      <w:r>
        <w:rPr>
          <w:color w:val="000000"/>
          <w:sz w:val="28"/>
          <w:szCs w:val="28"/>
        </w:rPr>
        <w:t xml:space="preserve">В 2025 году </w:t>
      </w:r>
      <w:r>
        <w:rPr>
          <w:color w:val="000000"/>
          <w:spacing w:val="4"/>
          <w:sz w:val="28"/>
          <w:szCs w:val="28"/>
        </w:rPr>
        <w:t xml:space="preserve">зарегистрировано право собственности Уссурийского городского округа Приморского края на </w:t>
      </w:r>
      <w:r>
        <w:rPr>
          <w:color w:val="000000"/>
          <w:sz w:val="28"/>
          <w:szCs w:val="28"/>
        </w:rPr>
        <w:t>450</w:t>
      </w:r>
      <w:r>
        <w:rPr>
          <w:color w:val="000000"/>
          <w:spacing w:val="4"/>
          <w:sz w:val="28"/>
          <w:szCs w:val="28"/>
        </w:rPr>
        <w:t xml:space="preserve"> объекта (при плане                      320 объектов)</w:t>
      </w:r>
      <w:r>
        <w:rPr>
          <w:color w:val="000000"/>
          <w:sz w:val="28"/>
          <w:szCs w:val="28"/>
        </w:rPr>
        <w:t>.</w:t>
      </w:r>
    </w:p>
    <w:p w:rsidR="00B52DE3" w:rsidRDefault="00DE73E3">
      <w:pPr>
        <w:pStyle w:val="aff8"/>
        <w:widowControl w:val="0"/>
        <w:spacing w:after="0" w:line="360" w:lineRule="auto"/>
        <w:ind w:firstLine="709"/>
        <w:jc w:val="both"/>
      </w:pPr>
      <w:r>
        <w:rPr>
          <w:color w:val="000000"/>
          <w:sz w:val="28"/>
          <w:szCs w:val="28"/>
        </w:rPr>
        <w:t>В рамках реализации муниципальной программы «Переселение граждан из аварийного жилищного фонда в Уссурийском городском округе Приморского края на 2019 - 2026 годы», утвержденной постановлением администрации Уссурийского городского округа от 16 октября 2019 года № 2442-НПА, заключено 21 (мена + выкуп) соглашение об изъятии недвижимости для муниципальных нужд.</w:t>
      </w:r>
    </w:p>
    <w:p w:rsidR="00B52DE3" w:rsidRDefault="00DE73E3">
      <w:pPr>
        <w:pStyle w:val="aff8"/>
        <w:spacing w:after="0" w:line="360" w:lineRule="auto"/>
        <w:ind w:firstLine="709"/>
        <w:jc w:val="both"/>
        <w:rPr>
          <w:sz w:val="28"/>
          <w:szCs w:val="28"/>
        </w:rPr>
      </w:pPr>
      <w:r>
        <w:rPr>
          <w:sz w:val="28"/>
          <w:szCs w:val="28"/>
        </w:rPr>
        <w:t>При плане поступлений денежных средств  22 590,64  тыс. руб. по заключенным соглашениям об изъятии недвижимости для муниципальных нужд фактическое поступление составило  24 795,49 тыс. рублей (превышение установленного плана  составило 9,8 % ).</w:t>
      </w:r>
    </w:p>
    <w:p w:rsidR="00B52DE3" w:rsidRDefault="00DE73E3">
      <w:pPr>
        <w:pStyle w:val="aff8"/>
        <w:spacing w:after="0" w:line="360" w:lineRule="auto"/>
        <w:ind w:firstLine="709"/>
        <w:jc w:val="both"/>
        <w:rPr>
          <w:sz w:val="28"/>
          <w:szCs w:val="28"/>
        </w:rPr>
      </w:pPr>
      <w:r>
        <w:rPr>
          <w:sz w:val="28"/>
          <w:szCs w:val="28"/>
        </w:rPr>
        <w:lastRenderedPageBreak/>
        <w:t xml:space="preserve">Общее пополнение доходной части бюджета подтверждается следующими показателями: план поступления денежных средств в местный бюджет от использования муниципального имущества в 2025 году составил                     61 727,90 тыс. рублей, фактическое поступление – 66 321,24 тыс. рублей (107,44 % от установленного плана). </w:t>
      </w:r>
    </w:p>
    <w:p w:rsidR="00B52DE3" w:rsidRDefault="00B52DE3">
      <w:pPr>
        <w:pStyle w:val="aff8"/>
        <w:spacing w:after="0" w:line="360" w:lineRule="auto"/>
        <w:ind w:firstLine="709"/>
        <w:jc w:val="both"/>
      </w:pPr>
    </w:p>
    <w:p w:rsidR="00B52DE3" w:rsidRDefault="00DE73E3">
      <w:pPr>
        <w:pStyle w:val="2f6"/>
        <w:keepNext w:val="0"/>
        <w:spacing w:before="0" w:line="240" w:lineRule="auto"/>
        <w:ind w:left="0"/>
      </w:pPr>
      <w:bookmarkStart w:id="21" w:name="_Toc22"/>
      <w:r>
        <w:t>Выявление правообладателей ранее учтенных объектов недвижимости (за исключением земельных участков, гаражей)</w:t>
      </w:r>
      <w:bookmarkEnd w:id="21"/>
    </w:p>
    <w:p w:rsidR="00B52DE3" w:rsidRDefault="00B52DE3">
      <w:pPr>
        <w:pStyle w:val="2f6"/>
        <w:keepNext w:val="0"/>
        <w:spacing w:before="0" w:line="240" w:lineRule="auto"/>
        <w:ind w:left="0"/>
      </w:pPr>
    </w:p>
    <w:p w:rsidR="00B52DE3" w:rsidRDefault="00DE73E3">
      <w:pPr>
        <w:tabs>
          <w:tab w:val="left" w:pos="709"/>
        </w:tabs>
        <w:spacing w:after="0" w:line="360" w:lineRule="auto"/>
        <w:jc w:val="both"/>
        <w:rPr>
          <w:rFonts w:ascii="Times New Roman" w:hAnsi="Times New Roman" w:cs="Times New Roman"/>
        </w:rPr>
      </w:pPr>
      <w:r>
        <w:rPr>
          <w:rFonts w:ascii="Times New Roman" w:eastAsia="Times New Roman" w:hAnsi="Times New Roman" w:cs="Times New Roman"/>
          <w:color w:val="FF0000"/>
          <w:sz w:val="28"/>
          <w:szCs w:val="28"/>
        </w:rPr>
        <w:tab/>
      </w:r>
      <w:r>
        <w:rPr>
          <w:rFonts w:ascii="Times New Roman" w:eastAsia="Times New Roman" w:hAnsi="Times New Roman" w:cs="Times New Roman"/>
          <w:sz w:val="28"/>
          <w:szCs w:val="28"/>
        </w:rPr>
        <w:t xml:space="preserve">На территории Уссурийского городского округа Приморского края расположены 18 936 ранее учтенных объектов недвижимости (за исключением земельных участков, гаражных боксов). </w:t>
      </w:r>
    </w:p>
    <w:p w:rsidR="00B52DE3" w:rsidRDefault="00DE73E3">
      <w:pPr>
        <w:pStyle w:val="aff8"/>
        <w:tabs>
          <w:tab w:val="left" w:pos="709"/>
        </w:tabs>
        <w:spacing w:after="0" w:line="360" w:lineRule="auto"/>
        <w:jc w:val="both"/>
      </w:pPr>
      <w:r>
        <w:rPr>
          <w:sz w:val="28"/>
          <w:szCs w:val="28"/>
        </w:rPr>
        <w:tab/>
        <w:t xml:space="preserve">В рамках реализации полномочий по выявлению на территории Уссурийского городского округа Приморского края правообладателей ранее учтенных объектов недвижимости  (за исключением земельных участков, гаражных боксов) проведены мероприятия в отношении 10 405 объектов недвижимости  (54,95 %), остаток к выявлению по состоянию на 31 декабря 2025 года -  8 531 объект недвижимости (45,05 %).  </w:t>
      </w:r>
    </w:p>
    <w:p w:rsidR="00B52DE3" w:rsidRDefault="00DE73E3">
      <w:pPr>
        <w:pStyle w:val="Heading1"/>
        <w:keepNext w:val="0"/>
        <w:keepLines w:val="0"/>
        <w:widowControl w:val="0"/>
        <w:spacing w:line="240" w:lineRule="auto"/>
        <w:jc w:val="center"/>
        <w:rPr>
          <w:rFonts w:ascii="Times New Roman" w:hAnsi="Times New Roman" w:cs="Times New Roman"/>
        </w:rPr>
      </w:pPr>
      <w:bookmarkStart w:id="22" w:name="_Toc23"/>
      <w:r>
        <w:rPr>
          <w:rFonts w:ascii="Times New Roman" w:eastAsia="Times New Roman" w:hAnsi="Times New Roman" w:cs="Times New Roman"/>
          <w:color w:val="000000"/>
        </w:rPr>
        <w:t>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bookmarkEnd w:id="22"/>
    </w:p>
    <w:p w:rsidR="00B52DE3" w:rsidRDefault="00B52DE3">
      <w:pPr>
        <w:widowControl w:val="0"/>
        <w:spacing w:after="0" w:line="360" w:lineRule="auto"/>
        <w:ind w:firstLine="709"/>
        <w:jc w:val="both"/>
        <w:rPr>
          <w:rFonts w:ascii="Times New Roman" w:hAnsi="Times New Roman" w:cs="Times New Roman"/>
          <w:color w:val="000000"/>
          <w:sz w:val="28"/>
          <w:szCs w:val="28"/>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 рамках муниципальной программы «</w:t>
      </w:r>
      <w:proofErr w:type="spellStart"/>
      <w:r>
        <w:rPr>
          <w:rFonts w:ascii="Times New Roman" w:eastAsia="Times New Roman" w:hAnsi="Times New Roman" w:cs="Times New Roman"/>
          <w:color w:val="000000"/>
          <w:sz w:val="28"/>
          <w:szCs w:val="28"/>
        </w:rPr>
        <w:t>Энергоэффективность</w:t>
      </w:r>
      <w:proofErr w:type="spellEnd"/>
      <w:r>
        <w:rPr>
          <w:rFonts w:ascii="Times New Roman" w:eastAsia="Times New Roman" w:hAnsi="Times New Roman" w:cs="Times New Roman"/>
          <w:color w:val="000000"/>
          <w:sz w:val="28"/>
          <w:szCs w:val="28"/>
        </w:rPr>
        <w:t>, развитие газоснабжения Уссурийского городского округа Приморского края»                       на 2023-2028 годы выполнены следующие мероприятия: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реконструкция объекта «Котельная № 45 в с. Воздвиженка»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строительство объекта «Тепловая сеть для закрытия 46 и 20 котельной и переключения нагрузок на котельную по ул. Раковская в г. Уссурийск»;</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актуализация схемы теплоснабжения Уссурийского городского округа </w:t>
      </w:r>
      <w:r>
        <w:rPr>
          <w:rFonts w:ascii="Times New Roman" w:eastAsia="Times New Roman" w:hAnsi="Times New Roman" w:cs="Times New Roman"/>
          <w:color w:val="000000"/>
          <w:sz w:val="28"/>
          <w:szCs w:val="28"/>
        </w:rPr>
        <w:lastRenderedPageBreak/>
        <w:t xml:space="preserve">в рамках муниципального контракта на выполнение работ по актуализации на 2026 год «Схемы теплоснабжения муниципального образования Уссурийский городской округ Приморского края на период с 2017 по                  2032 годы».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Осуществлен перевод 593 частных домовладений с угольного/дровяного на газовое отопление.</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рамках реализации муниципальной программы «Обеспечение инженерной инфраструктурой, качественными услугами жилищно-коммунального хозяйства населения Уссурийского городского округа Приморского края» на 2023-2028 годы выполнены следующие мероприятия: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проведены проектно-изыскательские работы по объекту «Проектирование и строительство подъездных автомобильных дорог, проездов в микрорайоне в границах с. Воздвиженка»; </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окончены строительно-монтажные работы по строительству объекта «Строительство подъездных автомобильных дорог, проездов в микрорайоне в границах ул. </w:t>
      </w:r>
      <w:proofErr w:type="spellStart"/>
      <w:r>
        <w:rPr>
          <w:rFonts w:ascii="Times New Roman" w:eastAsia="Times New Roman" w:hAnsi="Times New Roman" w:cs="Times New Roman"/>
          <w:color w:val="000000"/>
          <w:sz w:val="28"/>
          <w:szCs w:val="28"/>
        </w:rPr>
        <w:t>Анучинская</w:t>
      </w:r>
      <w:proofErr w:type="spellEnd"/>
      <w:r>
        <w:rPr>
          <w:rFonts w:ascii="Times New Roman" w:eastAsia="Times New Roman" w:hAnsi="Times New Roman" w:cs="Times New Roman"/>
          <w:color w:val="000000"/>
          <w:sz w:val="28"/>
          <w:szCs w:val="28"/>
        </w:rPr>
        <w:t>», подготовка исполнительной документации к вводу объекта в эксплуатацию;</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заключены и исполнены контракты на выполнение работ по определению сметной стоимости проектно-изыскательских работ по объектам:</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«Строительство автомобильных дорог общего пользования местного значения с подъездными путями к участкам, предоставленным  гражданам, имеющим трех и более детей в г. Уссурийск: в районе улицы Зеркальная, в районе улицы Подгорная , в районе улицы Коршунова;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«Проектирование и строительство инженерной инфраструктуры водоснабжения к земельным участкам предоставленным гражданам, имеющим трех и более детей, в г. Уссурийск в районе ул. </w:t>
      </w:r>
      <w:proofErr w:type="spellStart"/>
      <w:r>
        <w:rPr>
          <w:rFonts w:ascii="Times New Roman" w:eastAsia="Times New Roman" w:hAnsi="Times New Roman" w:cs="Times New Roman"/>
          <w:sz w:val="28"/>
          <w:szCs w:val="28"/>
        </w:rPr>
        <w:t>Анучинская</w:t>
      </w:r>
      <w:proofErr w:type="spellEnd"/>
      <w:r>
        <w:rPr>
          <w:rFonts w:ascii="Times New Roman" w:eastAsia="Times New Roman" w:hAnsi="Times New Roman" w:cs="Times New Roman"/>
          <w:sz w:val="28"/>
          <w:szCs w:val="28"/>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lastRenderedPageBreak/>
        <w:t xml:space="preserve">«Проектирование и строительство инженерной инфраструктуры водоотведения к земельным участкам предоставленным гражданам, имеющим трех и более детей, в г. Уссурийск в районе ул. </w:t>
      </w:r>
      <w:proofErr w:type="spellStart"/>
      <w:r>
        <w:rPr>
          <w:rFonts w:ascii="Times New Roman" w:eastAsia="Times New Roman" w:hAnsi="Times New Roman" w:cs="Times New Roman"/>
          <w:color w:val="000000"/>
          <w:sz w:val="28"/>
          <w:szCs w:val="28"/>
        </w:rPr>
        <w:t>Анучинская</w:t>
      </w:r>
      <w:proofErr w:type="spellEnd"/>
      <w:r>
        <w:rPr>
          <w:rFonts w:ascii="Times New Roman" w:eastAsia="Times New Roman" w:hAnsi="Times New Roman" w:cs="Times New Roman"/>
          <w:color w:val="000000"/>
          <w:sz w:val="28"/>
          <w:szCs w:val="28"/>
        </w:rPr>
        <w:t>»;</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проектно-изыскательские работы в рамках реализации мероприятий по объекту «Водоснабжение земельных участков предоставленным гражданам, имеющих трех и более детей, в г. Уссурийск в районе                                                 с. Воздвиженка». Подрядная организация - ООО «ИПА» (г. Владивосток; генеральный директор Алексеев Денис Дмитриевич);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окончены строительно-монтажные работы,</w:t>
      </w:r>
      <w:r>
        <w:rPr>
          <w:rFonts w:ascii="Times New Roman" w:eastAsia="Times New Roman" w:hAnsi="Times New Roman" w:cs="Times New Roman"/>
          <w:sz w:val="28"/>
          <w:szCs w:val="28"/>
        </w:rPr>
        <w:t xml:space="preserve"> введен в эксплуатацию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 xml:space="preserve">объект «Строительство напорного канализационного коллектора                         от ул. Андрея Кушнира, 9Б (КНС 13) по ул. Андрея Кушнира, ул. </w:t>
      </w:r>
      <w:proofErr w:type="spellStart"/>
      <w:r>
        <w:rPr>
          <w:rFonts w:ascii="Times New Roman" w:eastAsia="Times New Roman" w:hAnsi="Times New Roman" w:cs="Times New Roman"/>
          <w:sz w:val="28"/>
          <w:szCs w:val="28"/>
        </w:rPr>
        <w:t>Ладыгина</w:t>
      </w:r>
      <w:proofErr w:type="spellEnd"/>
      <w:r>
        <w:rPr>
          <w:rFonts w:ascii="Times New Roman" w:eastAsia="Times New Roman" w:hAnsi="Times New Roman" w:cs="Times New Roman"/>
          <w:sz w:val="28"/>
          <w:szCs w:val="28"/>
        </w:rPr>
        <w:t>, ул. Заречная до Владивостокское шоссе, 24»;</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окончены строительно-монтажные работы по </w:t>
      </w:r>
      <w:r>
        <w:rPr>
          <w:rFonts w:ascii="Times New Roman" w:eastAsia="Times New Roman" w:hAnsi="Times New Roman" w:cs="Times New Roman"/>
          <w:sz w:val="28"/>
          <w:szCs w:val="28"/>
        </w:rPr>
        <w:t>строительству объекта «Комплекс биологической очистки (доочистки) и обеззараживания сточных вод, производительностью 150 куб.м/</w:t>
      </w:r>
      <w:proofErr w:type="spellStart"/>
      <w:r>
        <w:rPr>
          <w:rFonts w:ascii="Times New Roman" w:eastAsia="Times New Roman" w:hAnsi="Times New Roman" w:cs="Times New Roman"/>
          <w:sz w:val="28"/>
          <w:szCs w:val="28"/>
        </w:rPr>
        <w:t>сут</w:t>
      </w:r>
      <w:proofErr w:type="spellEnd"/>
      <w:r>
        <w:rPr>
          <w:rFonts w:ascii="Times New Roman" w:eastAsia="Times New Roman" w:hAnsi="Times New Roman" w:cs="Times New Roman"/>
          <w:sz w:val="28"/>
          <w:szCs w:val="28"/>
        </w:rPr>
        <w:t xml:space="preserve">. на очистных сооружениях канализации с. </w:t>
      </w:r>
      <w:proofErr w:type="spellStart"/>
      <w:r>
        <w:rPr>
          <w:rFonts w:ascii="Times New Roman" w:eastAsia="Times New Roman" w:hAnsi="Times New Roman" w:cs="Times New Roman"/>
          <w:sz w:val="28"/>
          <w:szCs w:val="28"/>
        </w:rPr>
        <w:t>Пуциловка</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Подготовлена исполнительная документация к вводу объекта в эксплуатацию.</w:t>
      </w:r>
      <w:r>
        <w:rPr>
          <w:rFonts w:ascii="Times New Roman" w:eastAsia="Times New Roman" w:hAnsi="Times New Roman" w:cs="Times New Roman"/>
          <w:sz w:val="28"/>
          <w:szCs w:val="28"/>
        </w:rPr>
        <w:t xml:space="preserve"> Пусконаладочные работы запланированы на весну 2026 года;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исполнены контракты на выполнение работ по определению сметной стоимости проектно-изыскательских работ по объектам:</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реконструкция объекта «Комплекс биологической очистки (доочистки) и обеззараживания сточных вод, производительностью 300 куб.м/</w:t>
      </w:r>
      <w:proofErr w:type="spellStart"/>
      <w:r>
        <w:rPr>
          <w:rFonts w:ascii="Times New Roman" w:eastAsia="Times New Roman" w:hAnsi="Times New Roman" w:cs="Times New Roman"/>
          <w:sz w:val="28"/>
          <w:szCs w:val="28"/>
        </w:rPr>
        <w:t>сут</w:t>
      </w:r>
      <w:proofErr w:type="spellEnd"/>
      <w:r>
        <w:rPr>
          <w:rFonts w:ascii="Times New Roman" w:eastAsia="Times New Roman" w:hAnsi="Times New Roman" w:cs="Times New Roman"/>
          <w:sz w:val="28"/>
          <w:szCs w:val="28"/>
        </w:rPr>
        <w:t>. на очистных сооружениях канализации с. Заречное»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реконструкция объекта «Комплекс биологической очистки (доочистки) и обеззараживания сточных вод, производительностью 300 куб.м/</w:t>
      </w:r>
      <w:proofErr w:type="spellStart"/>
      <w:r>
        <w:rPr>
          <w:rFonts w:ascii="Times New Roman" w:eastAsia="Times New Roman" w:hAnsi="Times New Roman" w:cs="Times New Roman"/>
          <w:sz w:val="28"/>
          <w:szCs w:val="28"/>
        </w:rPr>
        <w:t>сут</w:t>
      </w:r>
      <w:proofErr w:type="spellEnd"/>
      <w:r>
        <w:rPr>
          <w:rFonts w:ascii="Times New Roman" w:eastAsia="Times New Roman" w:hAnsi="Times New Roman" w:cs="Times New Roman"/>
          <w:sz w:val="28"/>
          <w:szCs w:val="28"/>
        </w:rPr>
        <w:t xml:space="preserve">. на очистных сооружениях канализации с. </w:t>
      </w:r>
      <w:proofErr w:type="spellStart"/>
      <w:r>
        <w:rPr>
          <w:rFonts w:ascii="Times New Roman" w:eastAsia="Times New Roman" w:hAnsi="Times New Roman" w:cs="Times New Roman"/>
          <w:sz w:val="28"/>
          <w:szCs w:val="28"/>
        </w:rPr>
        <w:t>Раковка</w:t>
      </w:r>
      <w:proofErr w:type="spellEnd"/>
      <w:r>
        <w:rPr>
          <w:rFonts w:ascii="Times New Roman" w:eastAsia="Times New Roman" w:hAnsi="Times New Roman" w:cs="Times New Roman"/>
          <w:sz w:val="28"/>
          <w:szCs w:val="28"/>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Проведены плановые обследования источников наружного противопожарного водоснабжения, расположенных на территории </w:t>
      </w:r>
      <w:r>
        <w:rPr>
          <w:rFonts w:ascii="Times New Roman" w:eastAsia="Times New Roman" w:hAnsi="Times New Roman" w:cs="Times New Roman"/>
          <w:sz w:val="28"/>
          <w:szCs w:val="28"/>
        </w:rPr>
        <w:lastRenderedPageBreak/>
        <w:t xml:space="preserve">Уссурийского городского округа Приморского края (в весеннем и осеннем периодах) пожарные гидранты - 456 </w:t>
      </w:r>
      <w:proofErr w:type="spellStart"/>
      <w:r>
        <w:rPr>
          <w:rFonts w:ascii="Times New Roman" w:eastAsia="Times New Roman" w:hAnsi="Times New Roman" w:cs="Times New Roman"/>
          <w:sz w:val="28"/>
          <w:szCs w:val="28"/>
        </w:rPr>
        <w:t>шт</w:t>
      </w:r>
      <w:proofErr w:type="spellEnd"/>
      <w:r>
        <w:rPr>
          <w:rFonts w:ascii="Times New Roman" w:eastAsia="Times New Roman" w:hAnsi="Times New Roman" w:cs="Times New Roman"/>
          <w:sz w:val="28"/>
          <w:szCs w:val="28"/>
        </w:rPr>
        <w:t>, пожарные водоемы -162 шт.;</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организовано устройство 10 пожарных гидрантов;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построены 2 подъездных пути к емкостям для забора воды (для пожаротушения) в безводный районах п.Минеральный и </w:t>
      </w:r>
      <w:proofErr w:type="spellStart"/>
      <w:r>
        <w:rPr>
          <w:rFonts w:ascii="Times New Roman" w:eastAsia="Times New Roman" w:hAnsi="Times New Roman" w:cs="Times New Roman"/>
          <w:sz w:val="28"/>
          <w:szCs w:val="28"/>
        </w:rPr>
        <w:t>мкр.Загородное</w:t>
      </w:r>
      <w:proofErr w:type="spellEnd"/>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проведено плановое обследование гидротехнических сооружений, расположенных на территории Уссурийского городского округа Приморского края на предмет их готовности к прохождению весенне-летнего </w:t>
      </w:r>
      <w:proofErr w:type="spellStart"/>
      <w:r>
        <w:rPr>
          <w:rFonts w:ascii="Times New Roman" w:eastAsia="Times New Roman" w:hAnsi="Times New Roman" w:cs="Times New Roman"/>
          <w:sz w:val="28"/>
          <w:szCs w:val="28"/>
        </w:rPr>
        <w:t>паводкоопасного</w:t>
      </w:r>
      <w:proofErr w:type="spellEnd"/>
      <w:r>
        <w:rPr>
          <w:rFonts w:ascii="Times New Roman" w:eastAsia="Times New Roman" w:hAnsi="Times New Roman" w:cs="Times New Roman"/>
          <w:sz w:val="28"/>
          <w:szCs w:val="28"/>
        </w:rPr>
        <w:t xml:space="preserve"> периода 2025 года;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проведена работа по предоставлению в министерства Приморского края следующих отчетов: «Мониторинг ситуации на рынке труда в сфере ЖКХ», «Мониторинг дебиторск</w:t>
      </w:r>
      <w:r w:rsidR="00806DCF">
        <w:rPr>
          <w:rFonts w:ascii="Times New Roman" w:eastAsia="Times New Roman" w:hAnsi="Times New Roman" w:cs="Times New Roman"/>
          <w:sz w:val="28"/>
          <w:szCs w:val="28"/>
        </w:rPr>
        <w:t>ой и кредиторской задолженности</w:t>
      </w:r>
      <w:r>
        <w:rPr>
          <w:rFonts w:ascii="Times New Roman" w:eastAsia="Times New Roman" w:hAnsi="Times New Roman" w:cs="Times New Roman"/>
          <w:sz w:val="28"/>
          <w:szCs w:val="28"/>
        </w:rPr>
        <w:t>», «Мониторинг потребности организаций и предприятий Уссурийского городского округа Приморского края в специалистах в сфере ЖКХ»;</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проведена работа по предоставлению в министерства Приморского края  отчетов в рамках реализации мероприятий по вопросам организации теплоснабжения на территории Уссурийского городского округа Приморского края : 1-ЖКХ, 2-ЖКХ, 3-ЖКХ;</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направлены заявки в профильные органы исполнительной власти Правительства Приморского края на </w:t>
      </w:r>
      <w:proofErr w:type="spellStart"/>
      <w:r>
        <w:rPr>
          <w:rFonts w:ascii="Times New Roman" w:eastAsia="Times New Roman" w:hAnsi="Times New Roman" w:cs="Times New Roman"/>
          <w:sz w:val="28"/>
          <w:szCs w:val="28"/>
        </w:rPr>
        <w:t>софинансирование</w:t>
      </w:r>
      <w:proofErr w:type="spellEnd"/>
      <w:r>
        <w:rPr>
          <w:rFonts w:ascii="Times New Roman" w:eastAsia="Times New Roman" w:hAnsi="Times New Roman" w:cs="Times New Roman"/>
          <w:sz w:val="28"/>
          <w:szCs w:val="28"/>
        </w:rPr>
        <w:t xml:space="preserve"> реализации мероприятий по капитальному строительству (реконструкции) объектов, а также разработки проектно-сметной документации.</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 рамках реализации муниципальной программы</w:t>
      </w:r>
      <w:r>
        <w:rPr>
          <w:rFonts w:ascii="Times New Roman" w:eastAsia="Times New Roman" w:hAnsi="Times New Roman" w:cs="Times New Roman"/>
          <w:sz w:val="28"/>
          <w:szCs w:val="28"/>
        </w:rPr>
        <w:t xml:space="preserve"> «Развитие сетей уличного освещения Уссурийского городского округа Приморского края» на 2018-2028 годы выполнены работы по устройству уличного освещения на                            12 объектах: г. Уссурийск - ул. 8 Марта (от Новоникольского шоссе до жилого дома № 11/1), ул. Гончарука (вдоль жилых домов № 4, № 6, № 7 и жилых домов № 96, № 104, № 110 по ул. Топоркова), ул. Тельмана,                          ул. Казачья, ул. Тихменева, ул. Александра </w:t>
      </w:r>
      <w:proofErr w:type="spellStart"/>
      <w:r>
        <w:rPr>
          <w:rFonts w:ascii="Times New Roman" w:eastAsia="Times New Roman" w:hAnsi="Times New Roman" w:cs="Times New Roman"/>
          <w:sz w:val="28"/>
          <w:szCs w:val="28"/>
        </w:rPr>
        <w:t>Францева</w:t>
      </w:r>
      <w:proofErr w:type="spellEnd"/>
      <w:r>
        <w:rPr>
          <w:rFonts w:ascii="Times New Roman" w:eastAsia="Times New Roman" w:hAnsi="Times New Roman" w:cs="Times New Roman"/>
          <w:sz w:val="28"/>
          <w:szCs w:val="28"/>
        </w:rPr>
        <w:t xml:space="preserve"> - Стрелковый проезд, </w:t>
      </w:r>
      <w:r>
        <w:rPr>
          <w:rFonts w:ascii="Times New Roman" w:eastAsia="Times New Roman" w:hAnsi="Times New Roman" w:cs="Times New Roman"/>
          <w:sz w:val="28"/>
          <w:szCs w:val="28"/>
        </w:rPr>
        <w:lastRenderedPageBreak/>
        <w:t xml:space="preserve">пер. Инженерный, пер. Школьный. Сельские территории: с. Красный Яр (ул. Луговая, ул. Новая);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 Борисовка (ул. Новая – ул. Строительная);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 </w:t>
      </w:r>
      <w:proofErr w:type="spellStart"/>
      <w:r>
        <w:rPr>
          <w:rFonts w:ascii="Times New Roman" w:eastAsia="Times New Roman" w:hAnsi="Times New Roman" w:cs="Times New Roman"/>
          <w:sz w:val="28"/>
          <w:szCs w:val="28"/>
        </w:rPr>
        <w:t>Глуховка</w:t>
      </w:r>
      <w:proofErr w:type="spellEnd"/>
      <w:r>
        <w:rPr>
          <w:rFonts w:ascii="Times New Roman" w:eastAsia="Times New Roman" w:hAnsi="Times New Roman" w:cs="Times New Roman"/>
          <w:sz w:val="28"/>
          <w:szCs w:val="28"/>
        </w:rPr>
        <w:t xml:space="preserve"> (ул. Октябрьская от  жилого дома № 35а до жилого дома </w:t>
      </w:r>
      <w:r>
        <w:rPr>
          <w:rFonts w:ascii="Times New Roman" w:eastAsia="Times New Roman" w:hAnsi="Times New Roman" w:cs="Times New Roman"/>
          <w:sz w:val="28"/>
          <w:szCs w:val="28"/>
        </w:rPr>
        <w:br/>
        <w:t>№ 44а).</w:t>
      </w:r>
    </w:p>
    <w:p w:rsidR="00B52DE3" w:rsidRDefault="00DE73E3">
      <w:pPr>
        <w:pStyle w:val="1fe"/>
        <w:keepNext w:val="0"/>
        <w:keepLines w:val="0"/>
        <w:spacing w:line="240" w:lineRule="auto"/>
      </w:pPr>
      <w:bookmarkStart w:id="23" w:name="_Toc24"/>
      <w:r>
        <w:rPr>
          <w:rFonts w:eastAsia="Times New Roman"/>
        </w:rPr>
        <w:t xml:space="preserve">ДОРОЖНАЯ ДЕЯТЕЛЬНОСТЬ В ОТНОШЕНИИ АВТОМОБИЛЬНЫХ ДОРОГ МЕСТНОГО ЗНАЧЕНИЯ В ГРАНИЦАХ ГОРОДСКОГО ОКРУГА </w:t>
      </w:r>
      <w:bookmarkEnd w:id="23"/>
    </w:p>
    <w:p w:rsidR="00B52DE3" w:rsidRDefault="00B52DE3">
      <w:pPr>
        <w:pStyle w:val="aff8"/>
        <w:widowControl w:val="0"/>
        <w:spacing w:after="0" w:line="360" w:lineRule="auto"/>
        <w:ind w:firstLine="709"/>
        <w:rPr>
          <w:sz w:val="28"/>
          <w:szCs w:val="28"/>
        </w:rPr>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В рамках муниципальной программы «Уссурийские дороги»                            на 2023-2028 годы, реализованы мероприятия по:</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содержанию автомобильных дорог летний период: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очистка опавших листьев, сухой травы, сучьев газонов в полосе отвода (вычесывание) 159 295,17 м2 , покос травы на обочинах и разделительной полосе 5 252 651,65 м2, уборка мусор с полосы отвода 7 902,9 км, </w:t>
      </w:r>
      <w:proofErr w:type="spellStart"/>
      <w:r>
        <w:rPr>
          <w:rFonts w:ascii="Times New Roman" w:eastAsia="Times New Roman" w:hAnsi="Times New Roman" w:cs="Times New Roman"/>
          <w:bCs/>
          <w:iCs/>
          <w:color w:val="000000"/>
          <w:sz w:val="28"/>
          <w:szCs w:val="28"/>
        </w:rPr>
        <w:t>ваккумная</w:t>
      </w:r>
      <w:proofErr w:type="spellEnd"/>
      <w:r>
        <w:rPr>
          <w:rFonts w:ascii="Times New Roman" w:eastAsia="Times New Roman" w:hAnsi="Times New Roman" w:cs="Times New Roman"/>
          <w:bCs/>
          <w:iCs/>
          <w:color w:val="000000"/>
          <w:sz w:val="28"/>
          <w:szCs w:val="28"/>
        </w:rPr>
        <w:t xml:space="preserve"> уборка дорог и </w:t>
      </w:r>
      <w:proofErr w:type="spellStart"/>
      <w:r>
        <w:rPr>
          <w:rFonts w:ascii="Times New Roman" w:eastAsia="Times New Roman" w:hAnsi="Times New Roman" w:cs="Times New Roman"/>
          <w:bCs/>
          <w:iCs/>
          <w:color w:val="000000"/>
          <w:sz w:val="28"/>
          <w:szCs w:val="28"/>
        </w:rPr>
        <w:t>прибордюрной</w:t>
      </w:r>
      <w:proofErr w:type="spellEnd"/>
      <w:r>
        <w:rPr>
          <w:rFonts w:ascii="Times New Roman" w:eastAsia="Times New Roman" w:hAnsi="Times New Roman" w:cs="Times New Roman"/>
          <w:bCs/>
          <w:iCs/>
          <w:color w:val="000000"/>
          <w:sz w:val="28"/>
          <w:szCs w:val="28"/>
        </w:rPr>
        <w:t xml:space="preserve"> части автомобильных дорог 363 381 км, механическая очистка дорожного покрытия от мусора, пыли и грязи с а/б, </w:t>
      </w:r>
      <w:proofErr w:type="spellStart"/>
      <w:r>
        <w:rPr>
          <w:rFonts w:ascii="Times New Roman" w:eastAsia="Times New Roman" w:hAnsi="Times New Roman" w:cs="Times New Roman"/>
          <w:bCs/>
          <w:iCs/>
          <w:color w:val="000000"/>
          <w:sz w:val="28"/>
          <w:szCs w:val="28"/>
        </w:rPr>
        <w:t>ц</w:t>
      </w:r>
      <w:proofErr w:type="spellEnd"/>
      <w:r>
        <w:rPr>
          <w:rFonts w:ascii="Times New Roman" w:eastAsia="Times New Roman" w:hAnsi="Times New Roman" w:cs="Times New Roman"/>
          <w:bCs/>
          <w:iCs/>
          <w:color w:val="000000"/>
          <w:sz w:val="28"/>
          <w:szCs w:val="28"/>
        </w:rPr>
        <w:t xml:space="preserve">/б покрытия 12 665 302,42 м2, </w:t>
      </w:r>
      <w:proofErr w:type="spellStart"/>
      <w:r>
        <w:rPr>
          <w:rFonts w:ascii="Times New Roman" w:eastAsia="Times New Roman" w:hAnsi="Times New Roman" w:cs="Times New Roman"/>
          <w:bCs/>
          <w:iCs/>
          <w:color w:val="000000"/>
          <w:sz w:val="28"/>
          <w:szCs w:val="28"/>
        </w:rPr>
        <w:t>прибордюрная</w:t>
      </w:r>
      <w:proofErr w:type="spellEnd"/>
      <w:r>
        <w:rPr>
          <w:rFonts w:ascii="Times New Roman" w:eastAsia="Times New Roman" w:hAnsi="Times New Roman" w:cs="Times New Roman"/>
          <w:bCs/>
          <w:iCs/>
          <w:color w:val="000000"/>
          <w:sz w:val="28"/>
          <w:szCs w:val="28"/>
        </w:rPr>
        <w:t xml:space="preserve"> ручная очистка дорожного полотна от грязи, мусора и пыли 150 081,4 м2, очистка покрытия тротуара, остановок, площадок для отдыха, стоянок (от пыли и грязи вручную) подметание ручное 35 227 </w:t>
      </w:r>
      <w:proofErr w:type="spellStart"/>
      <w:r>
        <w:rPr>
          <w:rFonts w:ascii="Times New Roman" w:eastAsia="Times New Roman" w:hAnsi="Times New Roman" w:cs="Times New Roman"/>
          <w:bCs/>
          <w:iCs/>
          <w:color w:val="000000"/>
          <w:sz w:val="28"/>
          <w:szCs w:val="28"/>
        </w:rPr>
        <w:t>шт</w:t>
      </w:r>
      <w:proofErr w:type="spellEnd"/>
      <w:r>
        <w:rPr>
          <w:rFonts w:ascii="Times New Roman" w:eastAsia="Times New Roman" w:hAnsi="Times New Roman" w:cs="Times New Roman"/>
          <w:bCs/>
          <w:iCs/>
          <w:color w:val="000000"/>
          <w:sz w:val="28"/>
          <w:szCs w:val="28"/>
        </w:rPr>
        <w:t xml:space="preserve">, очистка подземного перехода и ступеней от пыли и грызи, мусора вручную 12 403,99 м2, ямочный ремонт 18 963,04 м2, ямочный ремонт </w:t>
      </w:r>
      <w:proofErr w:type="spellStart"/>
      <w:r>
        <w:rPr>
          <w:rFonts w:ascii="Times New Roman" w:eastAsia="Times New Roman" w:hAnsi="Times New Roman" w:cs="Times New Roman"/>
          <w:bCs/>
          <w:iCs/>
          <w:color w:val="000000"/>
          <w:sz w:val="28"/>
          <w:szCs w:val="28"/>
        </w:rPr>
        <w:t>струйно</w:t>
      </w:r>
      <w:proofErr w:type="spellEnd"/>
      <w:r>
        <w:rPr>
          <w:rFonts w:ascii="Times New Roman" w:eastAsia="Times New Roman" w:hAnsi="Times New Roman" w:cs="Times New Roman"/>
          <w:bCs/>
          <w:iCs/>
          <w:color w:val="000000"/>
          <w:sz w:val="28"/>
          <w:szCs w:val="28"/>
        </w:rPr>
        <w:t xml:space="preserve"> - инъекционным способом 1 500 м2, заделка трещин в а/б покрытии 5 467,7 км, профилирование гравийных дорог без добавления нового материала 2 598 485,51 м2, профилирование гравийных дорог с добавлением нового материала 69 709,1 м2, </w:t>
      </w:r>
      <w:proofErr w:type="spellStart"/>
      <w:r>
        <w:rPr>
          <w:rFonts w:ascii="Times New Roman" w:eastAsia="Times New Roman" w:hAnsi="Times New Roman" w:cs="Times New Roman"/>
          <w:bCs/>
          <w:iCs/>
          <w:color w:val="000000"/>
          <w:sz w:val="28"/>
          <w:szCs w:val="28"/>
        </w:rPr>
        <w:t>обеспыливание</w:t>
      </w:r>
      <w:proofErr w:type="spellEnd"/>
      <w:r>
        <w:rPr>
          <w:rFonts w:ascii="Times New Roman" w:eastAsia="Times New Roman" w:hAnsi="Times New Roman" w:cs="Times New Roman"/>
          <w:bCs/>
          <w:iCs/>
          <w:color w:val="000000"/>
          <w:sz w:val="28"/>
          <w:szCs w:val="28"/>
        </w:rPr>
        <w:t xml:space="preserve"> гравийных дорог 183 269 м2., устранение </w:t>
      </w:r>
      <w:proofErr w:type="spellStart"/>
      <w:r>
        <w:rPr>
          <w:rFonts w:ascii="Times New Roman" w:eastAsia="Times New Roman" w:hAnsi="Times New Roman" w:cs="Times New Roman"/>
          <w:bCs/>
          <w:iCs/>
          <w:color w:val="000000"/>
          <w:sz w:val="28"/>
          <w:szCs w:val="28"/>
        </w:rPr>
        <w:t>пучинистых</w:t>
      </w:r>
      <w:proofErr w:type="spellEnd"/>
      <w:r>
        <w:rPr>
          <w:rFonts w:ascii="Times New Roman" w:eastAsia="Times New Roman" w:hAnsi="Times New Roman" w:cs="Times New Roman"/>
          <w:bCs/>
          <w:iCs/>
          <w:color w:val="000000"/>
          <w:sz w:val="28"/>
          <w:szCs w:val="28"/>
        </w:rPr>
        <w:t xml:space="preserve"> грунтов (выборка, обратная засыпка) 1 268,9 м3.; ремонт тротуаров 1294,4 м3.;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содержание и ремонт системы ливневой канализации на </w:t>
      </w:r>
      <w:r>
        <w:rPr>
          <w:rFonts w:ascii="Times New Roman" w:eastAsia="Times New Roman" w:hAnsi="Times New Roman" w:cs="Times New Roman"/>
          <w:bCs/>
          <w:iCs/>
          <w:color w:val="000000"/>
          <w:sz w:val="28"/>
          <w:szCs w:val="28"/>
        </w:rPr>
        <w:lastRenderedPageBreak/>
        <w:t>автомобильных дорогах:</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укладка трубопровода ливневой канализации 163,2 п.м., восстановление ливневых колодцев 84 шт., установка люков 14 шт., укрепление откосов 32,0 м2., восстановление профиля водоотводных канав (нарезка) 3,3 км., восстановление профиля водоотводных канав (очистка) 20,09 км., укладка водоотводных лотков 3,0 п.м., очистка водоотводных лотков быстротоков (вручную) 16 199,4 м., демонтаж водопропускных труб 12 шт., укладка водопропускных труб (замена или устройство) 32 шт., устройство ленточных фундаментов (двусторонний оголовок) 18 шт., очистка русел труб и малых мостов от наносов 150,0 м2., расчистка обводного канала 4161 м3 ., обследование состояния смотровых и </w:t>
      </w:r>
      <w:proofErr w:type="spellStart"/>
      <w:r>
        <w:rPr>
          <w:rFonts w:ascii="Times New Roman" w:eastAsia="Times New Roman" w:hAnsi="Times New Roman" w:cs="Times New Roman"/>
          <w:bCs/>
          <w:iCs/>
          <w:color w:val="000000"/>
          <w:sz w:val="28"/>
          <w:szCs w:val="28"/>
        </w:rPr>
        <w:t>дождеприемных</w:t>
      </w:r>
      <w:proofErr w:type="spellEnd"/>
      <w:r>
        <w:rPr>
          <w:rFonts w:ascii="Times New Roman" w:eastAsia="Times New Roman" w:hAnsi="Times New Roman" w:cs="Times New Roman"/>
          <w:bCs/>
          <w:iCs/>
          <w:color w:val="000000"/>
          <w:sz w:val="28"/>
          <w:szCs w:val="28"/>
        </w:rPr>
        <w:t xml:space="preserve"> колодцев 66 шт., очистка водоприемных колодцев 123 шт., корчевка пней 21 шт., расчистка площади от кустарников и мелколесье (Сухой ручей) 12077,7 м3., углубление русел рек и ручьев 20427,1 м3., снос деревьев 82 шт., очистка от кустарников 5 785 м2., очистка ливневых колодцев - 585 шт.; устройство решетных конструкций ливневой канализации - 57 </w:t>
      </w:r>
      <w:proofErr w:type="spellStart"/>
      <w:r>
        <w:rPr>
          <w:rFonts w:ascii="Times New Roman" w:eastAsia="Times New Roman" w:hAnsi="Times New Roman" w:cs="Times New Roman"/>
          <w:bCs/>
          <w:iCs/>
          <w:color w:val="000000"/>
          <w:sz w:val="28"/>
          <w:szCs w:val="28"/>
        </w:rPr>
        <w:t>п.м.;проведены</w:t>
      </w:r>
      <w:proofErr w:type="spellEnd"/>
      <w:r>
        <w:rPr>
          <w:rFonts w:ascii="Times New Roman" w:eastAsia="Times New Roman" w:hAnsi="Times New Roman" w:cs="Times New Roman"/>
          <w:bCs/>
          <w:iCs/>
          <w:color w:val="000000"/>
          <w:sz w:val="28"/>
          <w:szCs w:val="28"/>
        </w:rPr>
        <w:t xml:space="preserve">  работы по ремонту системы ливневой канализации - 2, 22 км.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Организации безопасности дорожного движения:</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установлено дорожных знаков </w:t>
      </w:r>
      <w:proofErr w:type="spellStart"/>
      <w:r>
        <w:rPr>
          <w:rFonts w:ascii="Times New Roman" w:eastAsia="Times New Roman" w:hAnsi="Times New Roman" w:cs="Times New Roman"/>
          <w:bCs/>
          <w:iCs/>
          <w:color w:val="000000"/>
          <w:sz w:val="28"/>
          <w:szCs w:val="28"/>
        </w:rPr>
        <w:t>бесфундаментных</w:t>
      </w:r>
      <w:proofErr w:type="spellEnd"/>
      <w:r>
        <w:rPr>
          <w:rFonts w:ascii="Times New Roman" w:eastAsia="Times New Roman" w:hAnsi="Times New Roman" w:cs="Times New Roman"/>
          <w:bCs/>
          <w:iCs/>
          <w:color w:val="000000"/>
          <w:sz w:val="28"/>
          <w:szCs w:val="28"/>
        </w:rPr>
        <w:t xml:space="preserve"> (на металлических стойках) 105 шт., установлено дорожных знаков </w:t>
      </w:r>
      <w:proofErr w:type="spellStart"/>
      <w:r>
        <w:rPr>
          <w:rFonts w:ascii="Times New Roman" w:eastAsia="Times New Roman" w:hAnsi="Times New Roman" w:cs="Times New Roman"/>
          <w:bCs/>
          <w:iCs/>
          <w:color w:val="000000"/>
          <w:sz w:val="28"/>
          <w:szCs w:val="28"/>
        </w:rPr>
        <w:t>бесфундаментных</w:t>
      </w:r>
      <w:proofErr w:type="spellEnd"/>
      <w:r>
        <w:rPr>
          <w:rFonts w:ascii="Times New Roman" w:eastAsia="Times New Roman" w:hAnsi="Times New Roman" w:cs="Times New Roman"/>
          <w:bCs/>
          <w:iCs/>
          <w:color w:val="000000"/>
          <w:sz w:val="28"/>
          <w:szCs w:val="28"/>
        </w:rPr>
        <w:t xml:space="preserve"> (на существующие опоры) 187 шт., установка (замена) стоек светофоров и дорожных знаков 17 шт., исправление механических повреждений стоек дорожных знаков 90 шт., демонтаж дорожных знаков 10 шт., обрезка деревьев 412 шт., ремонт пешеходных ограждений - 71 п.м., нанесение линий дорожной  (вертикальной и горизонтальной(краска, термопластик) разметки на покрытие термопластик - 203,4 м2 и 147,62 км., нанесение букв, цифр и символов, дублирующих дорожные знаки 237 шт.,  монтаж искусственной дорожной неровности (лежачий полицейский) - 82 м2., замена линз на светофорных объектах (красный, зеленый, желтый) 24 шт., замена </w:t>
      </w:r>
      <w:r>
        <w:rPr>
          <w:rFonts w:ascii="Times New Roman" w:eastAsia="Times New Roman" w:hAnsi="Times New Roman" w:cs="Times New Roman"/>
          <w:bCs/>
          <w:iCs/>
          <w:color w:val="000000"/>
          <w:sz w:val="28"/>
          <w:szCs w:val="28"/>
        </w:rPr>
        <w:lastRenderedPageBreak/>
        <w:t xml:space="preserve">электросчетчиков на светофорных объектах 192 шт., замена (устройство)  пешеходного светофора 4 шт., монтаж (ремонт) </w:t>
      </w:r>
      <w:proofErr w:type="spellStart"/>
      <w:r>
        <w:rPr>
          <w:rFonts w:ascii="Times New Roman" w:eastAsia="Times New Roman" w:hAnsi="Times New Roman" w:cs="Times New Roman"/>
          <w:bCs/>
          <w:iCs/>
          <w:color w:val="000000"/>
          <w:sz w:val="28"/>
          <w:szCs w:val="28"/>
        </w:rPr>
        <w:t>леерных</w:t>
      </w:r>
      <w:proofErr w:type="spellEnd"/>
      <w:r>
        <w:rPr>
          <w:rFonts w:ascii="Times New Roman" w:eastAsia="Times New Roman" w:hAnsi="Times New Roman" w:cs="Times New Roman"/>
          <w:bCs/>
          <w:iCs/>
          <w:color w:val="000000"/>
          <w:sz w:val="28"/>
          <w:szCs w:val="28"/>
        </w:rPr>
        <w:t xml:space="preserve"> ограждений - 78 п.м., обустройство посадочной платформы - 27 м2., устройство парковки и прилегающего тротуара - 2 121 м2., устройство заездного кармана и тротуара 273 м2., обустройство приподнятых пешеходных переходов 6 </w:t>
      </w:r>
      <w:proofErr w:type="spellStart"/>
      <w:r>
        <w:rPr>
          <w:rFonts w:ascii="Times New Roman" w:eastAsia="Times New Roman" w:hAnsi="Times New Roman" w:cs="Times New Roman"/>
          <w:bCs/>
          <w:iCs/>
          <w:color w:val="000000"/>
          <w:sz w:val="28"/>
          <w:szCs w:val="28"/>
        </w:rPr>
        <w:t>шт</w:t>
      </w:r>
      <w:proofErr w:type="spellEnd"/>
      <w:r>
        <w:rPr>
          <w:rFonts w:ascii="Times New Roman" w:eastAsia="Times New Roman" w:hAnsi="Times New Roman" w:cs="Times New Roman"/>
          <w:bCs/>
          <w:iCs/>
          <w:color w:val="000000"/>
          <w:sz w:val="28"/>
          <w:szCs w:val="28"/>
        </w:rPr>
        <w:t xml:space="preserve">, обустройство приподнятых перекрестков 2 </w:t>
      </w:r>
      <w:proofErr w:type="spellStart"/>
      <w:r>
        <w:rPr>
          <w:rFonts w:ascii="Times New Roman" w:eastAsia="Times New Roman" w:hAnsi="Times New Roman" w:cs="Times New Roman"/>
          <w:bCs/>
          <w:iCs/>
          <w:color w:val="000000"/>
          <w:sz w:val="28"/>
          <w:szCs w:val="28"/>
        </w:rPr>
        <w:t>шт</w:t>
      </w:r>
      <w:proofErr w:type="spellEnd"/>
      <w:r>
        <w:rPr>
          <w:rFonts w:ascii="Times New Roman" w:eastAsia="Times New Roman" w:hAnsi="Times New Roman" w:cs="Times New Roman"/>
          <w:bCs/>
          <w:iCs/>
          <w:color w:val="000000"/>
          <w:sz w:val="28"/>
          <w:szCs w:val="28"/>
        </w:rPr>
        <w:t>, произведен ремонт                           5 автобусных павильонов, содержание автобусных павильонов (покраска) 100 шт., ремонт 2 межквартальных проездов;</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выполнены работы по ремонту 13 автомобильных дорог Уссурийского городского округа Приморского края: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ул. </w:t>
      </w:r>
      <w:proofErr w:type="spellStart"/>
      <w:r>
        <w:rPr>
          <w:rFonts w:ascii="Times New Roman" w:eastAsia="Times New Roman" w:hAnsi="Times New Roman" w:cs="Times New Roman"/>
          <w:bCs/>
          <w:iCs/>
          <w:color w:val="000000"/>
          <w:sz w:val="28"/>
          <w:szCs w:val="28"/>
        </w:rPr>
        <w:t>Штабского</w:t>
      </w:r>
      <w:proofErr w:type="spellEnd"/>
      <w:r>
        <w:rPr>
          <w:rFonts w:ascii="Times New Roman" w:eastAsia="Times New Roman" w:hAnsi="Times New Roman" w:cs="Times New Roman"/>
          <w:bCs/>
          <w:iCs/>
          <w:color w:val="000000"/>
          <w:sz w:val="28"/>
          <w:szCs w:val="28"/>
        </w:rPr>
        <w:t xml:space="preserve"> в районе дома № 12; ул. Севастопольская в районе дома № 4; ул. Гончарука, в границах от ул. Слободская до ул. Топоркова;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пер. Рюмина; ул. Хабаровская в границах от дома № 38Б до дома № 68;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ул. Афанасьева в границах от дома № 8 (Суворовское училище)                      до ул. Солдатская; ул. Коммунальная в границах от здания № 5Б; </w:t>
      </w:r>
    </w:p>
    <w:p w:rsidR="00B52DE3" w:rsidRDefault="00DE73E3">
      <w:pPr>
        <w:widowControl w:val="0"/>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Cs/>
          <w:iCs/>
          <w:color w:val="000000"/>
          <w:sz w:val="28"/>
          <w:szCs w:val="28"/>
        </w:rPr>
        <w:t>ул. Коммунальная до здания ул. Механизаторов № 46;</w:t>
      </w:r>
    </w:p>
    <w:p w:rsidR="00B52DE3" w:rsidRDefault="00DE73E3">
      <w:pPr>
        <w:widowControl w:val="0"/>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Cs/>
          <w:iCs/>
          <w:color w:val="000000"/>
          <w:sz w:val="28"/>
          <w:szCs w:val="28"/>
        </w:rPr>
        <w:t>ул. Топоркова в границах от СНТ «Монтажник-1,7» до конечной остановки «</w:t>
      </w:r>
      <w:proofErr w:type="spellStart"/>
      <w:r>
        <w:rPr>
          <w:rFonts w:ascii="Times New Roman" w:eastAsia="Times New Roman" w:hAnsi="Times New Roman" w:cs="Times New Roman"/>
          <w:bCs/>
          <w:iCs/>
          <w:color w:val="000000"/>
          <w:sz w:val="28"/>
          <w:szCs w:val="28"/>
        </w:rPr>
        <w:t>Пивзаводские</w:t>
      </w:r>
      <w:proofErr w:type="spellEnd"/>
      <w:r>
        <w:rPr>
          <w:rFonts w:ascii="Times New Roman" w:eastAsia="Times New Roman" w:hAnsi="Times New Roman" w:cs="Times New Roman"/>
          <w:bCs/>
          <w:iCs/>
          <w:color w:val="000000"/>
          <w:sz w:val="28"/>
          <w:szCs w:val="28"/>
        </w:rPr>
        <w:t xml:space="preserve"> сады»;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ул. Владивостокское шоссе в районе путепровода ч/</w:t>
      </w:r>
      <w:proofErr w:type="spellStart"/>
      <w:r>
        <w:rPr>
          <w:rFonts w:ascii="Times New Roman" w:eastAsia="Times New Roman" w:hAnsi="Times New Roman" w:cs="Times New Roman"/>
          <w:bCs/>
          <w:iCs/>
          <w:color w:val="000000"/>
          <w:sz w:val="28"/>
          <w:szCs w:val="28"/>
        </w:rPr>
        <w:t>з</w:t>
      </w:r>
      <w:proofErr w:type="spellEnd"/>
      <w:r>
        <w:rPr>
          <w:rFonts w:ascii="Times New Roman" w:eastAsia="Times New Roman" w:hAnsi="Times New Roman" w:cs="Times New Roman"/>
          <w:bCs/>
          <w:iCs/>
          <w:color w:val="000000"/>
          <w:sz w:val="28"/>
          <w:szCs w:val="28"/>
        </w:rPr>
        <w:t xml:space="preserve"> Ж/Д Владивосток - Москва;</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с. </w:t>
      </w:r>
      <w:proofErr w:type="spellStart"/>
      <w:r>
        <w:rPr>
          <w:rFonts w:ascii="Times New Roman" w:eastAsia="Times New Roman" w:hAnsi="Times New Roman" w:cs="Times New Roman"/>
          <w:bCs/>
          <w:iCs/>
          <w:color w:val="000000"/>
          <w:sz w:val="28"/>
          <w:szCs w:val="28"/>
        </w:rPr>
        <w:t>Корсаковка</w:t>
      </w:r>
      <w:proofErr w:type="spellEnd"/>
      <w:r>
        <w:rPr>
          <w:rFonts w:ascii="Times New Roman" w:eastAsia="Times New Roman" w:hAnsi="Times New Roman" w:cs="Times New Roman"/>
          <w:bCs/>
          <w:iCs/>
          <w:color w:val="000000"/>
          <w:sz w:val="28"/>
          <w:szCs w:val="28"/>
        </w:rPr>
        <w:t>, ул. Кирова в границах от дома № 2 до дома № 26;</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с. </w:t>
      </w:r>
      <w:proofErr w:type="spellStart"/>
      <w:r>
        <w:rPr>
          <w:rFonts w:ascii="Times New Roman" w:eastAsia="Times New Roman" w:hAnsi="Times New Roman" w:cs="Times New Roman"/>
          <w:bCs/>
          <w:iCs/>
          <w:color w:val="000000"/>
          <w:sz w:val="28"/>
          <w:szCs w:val="28"/>
        </w:rPr>
        <w:t>Пуциловка</w:t>
      </w:r>
      <w:proofErr w:type="spellEnd"/>
      <w:r>
        <w:rPr>
          <w:rFonts w:ascii="Times New Roman" w:eastAsia="Times New Roman" w:hAnsi="Times New Roman" w:cs="Times New Roman"/>
          <w:bCs/>
          <w:iCs/>
          <w:color w:val="000000"/>
          <w:sz w:val="28"/>
          <w:szCs w:val="28"/>
        </w:rPr>
        <w:t>, пер. Луговой в границах от пересечения с краевой дорогой «</w:t>
      </w:r>
      <w:proofErr w:type="spellStart"/>
      <w:r>
        <w:rPr>
          <w:rFonts w:ascii="Times New Roman" w:eastAsia="Times New Roman" w:hAnsi="Times New Roman" w:cs="Times New Roman"/>
          <w:bCs/>
          <w:iCs/>
          <w:color w:val="000000"/>
          <w:sz w:val="28"/>
          <w:szCs w:val="28"/>
        </w:rPr>
        <w:t>Улитовка-Пуциловка-Богатырка-Монакино</w:t>
      </w:r>
      <w:proofErr w:type="spellEnd"/>
      <w:r>
        <w:rPr>
          <w:rFonts w:ascii="Times New Roman" w:eastAsia="Times New Roman" w:hAnsi="Times New Roman" w:cs="Times New Roman"/>
          <w:bCs/>
          <w:iCs/>
          <w:color w:val="000000"/>
          <w:sz w:val="28"/>
          <w:szCs w:val="28"/>
        </w:rPr>
        <w:t>» до границы кладбища;</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п. Партизан, ул. Уссурийская проезд к дому № 80.</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Содержание автомобильных дорог в зимний период:</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очистка урн от мусора на автобусных остановках и тротуарах                      18 001 </w:t>
      </w:r>
      <w:proofErr w:type="spellStart"/>
      <w:r>
        <w:rPr>
          <w:rFonts w:ascii="Times New Roman" w:eastAsia="Times New Roman" w:hAnsi="Times New Roman" w:cs="Times New Roman"/>
          <w:bCs/>
          <w:iCs/>
          <w:color w:val="000000"/>
          <w:sz w:val="28"/>
          <w:szCs w:val="28"/>
        </w:rPr>
        <w:t>шт</w:t>
      </w:r>
      <w:proofErr w:type="spellEnd"/>
      <w:r>
        <w:rPr>
          <w:rFonts w:ascii="Times New Roman" w:eastAsia="Times New Roman" w:hAnsi="Times New Roman" w:cs="Times New Roman"/>
          <w:bCs/>
          <w:iCs/>
          <w:color w:val="000000"/>
          <w:sz w:val="28"/>
          <w:szCs w:val="28"/>
        </w:rPr>
        <w:t xml:space="preserve">, очистка подземного перехода и ступеней от пыли и грызи, мусора вручную 63 64,32 м2 , механическая очистка покрытий проезжей части дорог от снега (АСФАЛЬТ) 10595956,81 м2, механическая очистка покрытий </w:t>
      </w:r>
      <w:r>
        <w:rPr>
          <w:rFonts w:ascii="Times New Roman" w:eastAsia="Times New Roman" w:hAnsi="Times New Roman" w:cs="Times New Roman"/>
          <w:bCs/>
          <w:iCs/>
          <w:color w:val="000000"/>
          <w:sz w:val="28"/>
          <w:szCs w:val="28"/>
        </w:rPr>
        <w:lastRenderedPageBreak/>
        <w:t xml:space="preserve">проезжей части дорог от снега (ГРАВИЙ) 656 575,19 м2, очистка обочин от снега;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62,82 км, очистка труб с постоянным водотоком от снега и льда (прогрев);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bCs/>
          <w:iCs/>
          <w:color w:val="000000"/>
          <w:sz w:val="28"/>
          <w:szCs w:val="28"/>
        </w:rPr>
        <w:t xml:space="preserve">82 м, очистка от снега тротуаров, стоянок (РУЧНАЯ) 270 271,27 м2, очистка от снега тротуаров, стоянок (МЕХАНИКА) 609 263,48 м2, вывоз снега 3 м3, распределение ПСС на ТРОТУАРЕ (ПЕСОК) 47 686,6 м2, распределение ПСС </w:t>
      </w:r>
      <w:proofErr w:type="spellStart"/>
      <w:r>
        <w:rPr>
          <w:rFonts w:ascii="Times New Roman" w:eastAsia="Times New Roman" w:hAnsi="Times New Roman" w:cs="Times New Roman"/>
          <w:bCs/>
          <w:iCs/>
          <w:color w:val="000000"/>
          <w:sz w:val="28"/>
          <w:szCs w:val="28"/>
        </w:rPr>
        <w:t>механ</w:t>
      </w:r>
      <w:proofErr w:type="spellEnd"/>
      <w:r>
        <w:rPr>
          <w:rFonts w:ascii="Times New Roman" w:eastAsia="Times New Roman" w:hAnsi="Times New Roman" w:cs="Times New Roman"/>
          <w:bCs/>
          <w:iCs/>
          <w:color w:val="000000"/>
          <w:sz w:val="28"/>
          <w:szCs w:val="28"/>
        </w:rPr>
        <w:t>. на а/</w:t>
      </w:r>
      <w:proofErr w:type="spellStart"/>
      <w:r>
        <w:rPr>
          <w:rFonts w:ascii="Times New Roman" w:eastAsia="Times New Roman" w:hAnsi="Times New Roman" w:cs="Times New Roman"/>
          <w:bCs/>
          <w:iCs/>
          <w:color w:val="000000"/>
          <w:sz w:val="28"/>
          <w:szCs w:val="28"/>
        </w:rPr>
        <w:t>д</w:t>
      </w:r>
      <w:proofErr w:type="spellEnd"/>
      <w:r>
        <w:rPr>
          <w:rFonts w:ascii="Times New Roman" w:eastAsia="Times New Roman" w:hAnsi="Times New Roman" w:cs="Times New Roman"/>
          <w:bCs/>
          <w:iCs/>
          <w:color w:val="000000"/>
          <w:sz w:val="28"/>
          <w:szCs w:val="28"/>
        </w:rPr>
        <w:t xml:space="preserve"> (АСФАЛЬТ) 8 720 023,85 м2, очистка тротуара, остановок (от пыли, грязи мусора вручную), подметание                          257 070,31 м2, очистка от мусора и грязи полосы отвода 141 593,21 км, вывоз мусора 1 123,55 м3.</w:t>
      </w:r>
    </w:p>
    <w:p w:rsidR="00B52DE3" w:rsidRDefault="00B52DE3">
      <w:pPr>
        <w:widowControl w:val="0"/>
        <w:spacing w:after="0" w:line="360" w:lineRule="auto"/>
        <w:ind w:firstLine="708"/>
        <w:jc w:val="both"/>
        <w:rPr>
          <w:rFonts w:ascii="Times New Roman" w:hAnsi="Times New Roman" w:cs="Times New Roman"/>
          <w:bCs/>
          <w:iCs/>
          <w:color w:val="000000"/>
          <w:sz w:val="28"/>
          <w:szCs w:val="28"/>
        </w:rPr>
      </w:pPr>
    </w:p>
    <w:p w:rsidR="00B52DE3" w:rsidRDefault="00DE73E3">
      <w:pPr>
        <w:pStyle w:val="1fe"/>
        <w:keepNext w:val="0"/>
        <w:keepLines w:val="0"/>
        <w:spacing w:before="0" w:line="240" w:lineRule="auto"/>
      </w:pPr>
      <w:bookmarkStart w:id="24" w:name="_Toc25"/>
      <w:r>
        <w:rPr>
          <w:rFonts w:eastAsia="Times New Roman"/>
        </w:rPr>
        <w:t xml:space="preserve">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bookmarkEnd w:id="24"/>
    </w:p>
    <w:p w:rsidR="00B52DE3" w:rsidRDefault="00B52DE3">
      <w:pPr>
        <w:widowControl w:val="0"/>
        <w:tabs>
          <w:tab w:val="left" w:pos="1120"/>
        </w:tabs>
        <w:spacing w:after="0" w:line="360" w:lineRule="auto"/>
        <w:ind w:firstLine="709"/>
        <w:jc w:val="center"/>
        <w:rPr>
          <w:rFonts w:ascii="Times New Roman" w:hAnsi="Times New Roman" w:cs="Times New Roman"/>
          <w:b/>
          <w:sz w:val="28"/>
          <w:szCs w:val="28"/>
        </w:rPr>
      </w:pPr>
    </w:p>
    <w:p w:rsidR="00B52DE3" w:rsidRDefault="00DE73E3">
      <w:pPr>
        <w:widowControl w:val="0"/>
        <w:spacing w:after="0" w:line="360" w:lineRule="auto"/>
        <w:ind w:right="-1" w:firstLine="709"/>
        <w:jc w:val="both"/>
        <w:rPr>
          <w:rFonts w:ascii="Times New Roman" w:hAnsi="Times New Roman" w:cs="Times New Roman"/>
        </w:rPr>
      </w:pPr>
      <w:r>
        <w:rPr>
          <w:rFonts w:ascii="Times New Roman" w:eastAsia="Times New Roman" w:hAnsi="Times New Roman" w:cs="Times New Roman"/>
          <w:sz w:val="28"/>
          <w:szCs w:val="28"/>
        </w:rPr>
        <w:t>В администрации Уссурийского городского округа Приморского края на учете в качестве нуждающихся в жилых помещениях по состоянию                      на 31 декабря 2025 года состоял 1410 очередник, из которых в общегородской очереди – 1149 (из них малоимущие – 640).</w:t>
      </w:r>
    </w:p>
    <w:p w:rsidR="00B52DE3" w:rsidRDefault="00DE73E3">
      <w:pPr>
        <w:widowControl w:val="0"/>
        <w:spacing w:after="0" w:line="360" w:lineRule="auto"/>
        <w:ind w:right="-1" w:firstLine="709"/>
        <w:jc w:val="both"/>
        <w:rPr>
          <w:rFonts w:ascii="Times New Roman" w:hAnsi="Times New Roman" w:cs="Times New Roman"/>
        </w:rPr>
      </w:pPr>
      <w:r>
        <w:rPr>
          <w:rFonts w:ascii="Times New Roman" w:eastAsia="Times New Roman" w:hAnsi="Times New Roman" w:cs="Times New Roman"/>
          <w:sz w:val="28"/>
          <w:szCs w:val="28"/>
        </w:rPr>
        <w:t>В 2025 году предоставлено:</w:t>
      </w:r>
    </w:p>
    <w:p w:rsidR="00B52DE3" w:rsidRDefault="00DE73E3">
      <w:pPr>
        <w:widowControl w:val="0"/>
        <w:spacing w:after="0" w:line="360" w:lineRule="auto"/>
        <w:ind w:right="-1" w:firstLine="709"/>
        <w:jc w:val="both"/>
        <w:rPr>
          <w:rFonts w:ascii="Times New Roman" w:hAnsi="Times New Roman" w:cs="Times New Roman"/>
        </w:rPr>
      </w:pPr>
      <w:r>
        <w:rPr>
          <w:rFonts w:ascii="Times New Roman" w:eastAsia="Times New Roman" w:hAnsi="Times New Roman" w:cs="Times New Roman"/>
          <w:sz w:val="28"/>
          <w:szCs w:val="28"/>
        </w:rPr>
        <w:t>в соответствии со статьей 57 ЖК РФ - 9 очередникам предоставлены помещения по договорам социального найма, общей площадью 333,7 кв.м;</w:t>
      </w:r>
    </w:p>
    <w:p w:rsidR="00B52DE3" w:rsidRDefault="00DE73E3">
      <w:pPr>
        <w:widowControl w:val="0"/>
        <w:spacing w:after="0" w:line="360" w:lineRule="auto"/>
        <w:ind w:right="-1" w:firstLine="709"/>
        <w:jc w:val="both"/>
        <w:rPr>
          <w:rFonts w:ascii="Times New Roman" w:hAnsi="Times New Roman" w:cs="Times New Roman"/>
        </w:rPr>
      </w:pPr>
      <w:r>
        <w:rPr>
          <w:rFonts w:ascii="Times New Roman" w:eastAsia="Times New Roman" w:hAnsi="Times New Roman" w:cs="Times New Roman"/>
          <w:sz w:val="28"/>
          <w:szCs w:val="28"/>
        </w:rPr>
        <w:t>в соответствии со статьей 59 ЖК РФ - 2 жилых помещения, общей площадью 37,9 кв.м;</w:t>
      </w:r>
    </w:p>
    <w:p w:rsidR="00B52DE3" w:rsidRDefault="00DE73E3">
      <w:pPr>
        <w:widowControl w:val="0"/>
        <w:spacing w:after="0" w:line="360" w:lineRule="auto"/>
        <w:ind w:right="-1" w:firstLine="709"/>
        <w:jc w:val="both"/>
        <w:rPr>
          <w:rFonts w:ascii="Times New Roman" w:hAnsi="Times New Roman" w:cs="Times New Roman"/>
        </w:rPr>
      </w:pPr>
      <w:r>
        <w:rPr>
          <w:rFonts w:ascii="Times New Roman" w:eastAsia="Times New Roman" w:hAnsi="Times New Roman" w:cs="Times New Roman"/>
          <w:sz w:val="28"/>
          <w:szCs w:val="28"/>
        </w:rPr>
        <w:t>по решению суда - 2 жилых помещения, общей площадью 59,2 кв.м;</w:t>
      </w:r>
    </w:p>
    <w:p w:rsidR="00B52DE3" w:rsidRDefault="00DE73E3">
      <w:pPr>
        <w:widowControl w:val="0"/>
        <w:spacing w:after="0" w:line="360" w:lineRule="auto"/>
        <w:ind w:right="-1" w:firstLine="709"/>
        <w:jc w:val="both"/>
        <w:rPr>
          <w:rFonts w:ascii="Times New Roman" w:hAnsi="Times New Roman" w:cs="Times New Roman"/>
        </w:rPr>
      </w:pPr>
      <w:r>
        <w:rPr>
          <w:rFonts w:ascii="Times New Roman" w:eastAsia="Times New Roman" w:hAnsi="Times New Roman" w:cs="Times New Roman"/>
          <w:sz w:val="28"/>
          <w:szCs w:val="28"/>
        </w:rPr>
        <w:lastRenderedPageBreak/>
        <w:t>1 очереднику категории «инвалиды, семьи, имеющие детей инвалидов», вставшие на учет в качестве нуждающихся в жилом помещении до 01 января 2005 года, министерством труда и социального развития Приморского края предоставлено свидетельство о выделении бюджетных средств на приобретение или строительство жилого помещения. Размер социальной выплаты составил 3 168 486,00 рублей;</w:t>
      </w:r>
    </w:p>
    <w:p w:rsidR="00B52DE3" w:rsidRDefault="00DE73E3">
      <w:pPr>
        <w:widowControl w:val="0"/>
        <w:spacing w:after="0" w:line="360" w:lineRule="auto"/>
        <w:ind w:right="-1" w:firstLine="709"/>
        <w:jc w:val="both"/>
        <w:rPr>
          <w:rFonts w:ascii="Times New Roman" w:hAnsi="Times New Roman" w:cs="Times New Roman"/>
        </w:rPr>
      </w:pPr>
      <w:r>
        <w:rPr>
          <w:rFonts w:ascii="Times New Roman" w:eastAsia="Times New Roman" w:hAnsi="Times New Roman" w:cs="Times New Roman"/>
          <w:sz w:val="28"/>
          <w:szCs w:val="28"/>
        </w:rPr>
        <w:t>1 очереднику категории «участники боевых действий», вставшие на учет в качестве нуждающихся в жилом помещении до 01 января 2005 года, министерством труда и социального развития Приморского края предоставлено свидетельство о выделении бюджетных средств на приобретение или строительство жилого помещения. Размер социальной выплаты составил 3 162 294,00 рубля;</w:t>
      </w:r>
    </w:p>
    <w:p w:rsidR="00B52DE3" w:rsidRDefault="00DE73E3">
      <w:pPr>
        <w:widowControl w:val="0"/>
        <w:spacing w:after="0" w:line="360" w:lineRule="auto"/>
        <w:ind w:right="-1" w:firstLine="709"/>
        <w:jc w:val="both"/>
        <w:rPr>
          <w:rFonts w:ascii="Times New Roman" w:hAnsi="Times New Roman" w:cs="Times New Roman"/>
        </w:rPr>
      </w:pPr>
      <w:r>
        <w:rPr>
          <w:rFonts w:ascii="Times New Roman" w:eastAsia="Times New Roman" w:hAnsi="Times New Roman" w:cs="Times New Roman"/>
          <w:sz w:val="28"/>
          <w:szCs w:val="28"/>
        </w:rPr>
        <w:t xml:space="preserve">В рамках реализации мероприятий муниципальной программы «Обеспечение жильем молодых семей Уссурийского городского округа Приморского края» в 2025 году реализовали свои права на приобретение жилья 11 семей. </w:t>
      </w:r>
    </w:p>
    <w:p w:rsidR="00B52DE3" w:rsidRDefault="00DE73E3">
      <w:pPr>
        <w:widowControl w:val="0"/>
        <w:spacing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lang w:eastAsia="ru-RU"/>
        </w:rPr>
        <w:t xml:space="preserve">В 2025 году администрации Уссурийского городского округа в целях обеспечения благоустроенными жилыми помещениями граждан, относящихся к категории детей – сирот и детей, оставшихся без попечения родителей  было  выделено  </w:t>
      </w:r>
      <w:r>
        <w:rPr>
          <w:rFonts w:ascii="Times New Roman" w:eastAsia="Times New Roman" w:hAnsi="Times New Roman" w:cs="Times New Roman"/>
          <w:color w:val="000000"/>
          <w:sz w:val="28"/>
          <w:szCs w:val="28"/>
        </w:rPr>
        <w:t xml:space="preserve">135 058 862,99 </w:t>
      </w:r>
      <w:r>
        <w:rPr>
          <w:rFonts w:ascii="Times New Roman" w:eastAsia="Times New Roman" w:hAnsi="Times New Roman" w:cs="Times New Roman"/>
          <w:color w:val="000000"/>
          <w:sz w:val="28"/>
          <w:szCs w:val="28"/>
          <w:lang w:eastAsia="ru-RU"/>
        </w:rPr>
        <w:t>рублей  из них:</w:t>
      </w:r>
    </w:p>
    <w:p w:rsidR="00B52DE3" w:rsidRDefault="00DE73E3">
      <w:pPr>
        <w:widowControl w:val="0"/>
        <w:spacing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28632 216,00</w:t>
      </w:r>
      <w:r>
        <w:rPr>
          <w:rFonts w:ascii="Times New Roman" w:eastAsia="Times New Roman" w:hAnsi="Times New Roman" w:cs="Times New Roman"/>
          <w:color w:val="000000"/>
          <w:sz w:val="28"/>
          <w:szCs w:val="28"/>
          <w:lang w:eastAsia="ru-RU"/>
        </w:rPr>
        <w:t xml:space="preserve"> рублей (федеральный бюджет) </w:t>
      </w:r>
      <w:r>
        <w:rPr>
          <w:rFonts w:ascii="Times New Roman" w:eastAsia="Times New Roman" w:hAnsi="Times New Roman" w:cs="Times New Roman"/>
          <w:color w:val="000000"/>
          <w:sz w:val="28"/>
          <w:szCs w:val="28"/>
        </w:rPr>
        <w:t>приобретение жилых помещений;</w:t>
      </w:r>
    </w:p>
    <w:p w:rsidR="00B52DE3" w:rsidRDefault="00DE73E3">
      <w:pPr>
        <w:widowControl w:val="0"/>
        <w:spacing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 xml:space="preserve">65 947 559,99 </w:t>
      </w:r>
      <w:r>
        <w:rPr>
          <w:rFonts w:ascii="Times New Roman" w:eastAsia="Times New Roman" w:hAnsi="Times New Roman" w:cs="Times New Roman"/>
          <w:color w:val="000000"/>
          <w:sz w:val="28"/>
          <w:szCs w:val="28"/>
          <w:lang w:eastAsia="ru-RU"/>
        </w:rPr>
        <w:t xml:space="preserve">рублей (краевой бюджет) </w:t>
      </w:r>
      <w:r>
        <w:rPr>
          <w:rFonts w:ascii="Times New Roman" w:eastAsia="Times New Roman" w:hAnsi="Times New Roman" w:cs="Times New Roman"/>
          <w:color w:val="000000"/>
          <w:sz w:val="28"/>
          <w:szCs w:val="28"/>
        </w:rPr>
        <w:t>приобретение жилых помещений</w:t>
      </w:r>
      <w:r>
        <w:rPr>
          <w:rFonts w:ascii="Times New Roman" w:eastAsia="Times New Roman" w:hAnsi="Times New Roman" w:cs="Times New Roman"/>
          <w:color w:val="000000"/>
          <w:sz w:val="28"/>
          <w:szCs w:val="28"/>
          <w:lang w:eastAsia="ru-RU"/>
        </w:rPr>
        <w:t>;</w:t>
      </w:r>
    </w:p>
    <w:p w:rsidR="00B52DE3" w:rsidRDefault="00DE73E3">
      <w:pPr>
        <w:widowControl w:val="0"/>
        <w:spacing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lang w:eastAsia="ru-RU"/>
        </w:rPr>
        <w:t>40 479 087,00 рублей (краевой бюджет) предоставление выплаты (Сертификат).</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В 2025 году приобретено 19 благоустроенных жилых помещения (квартиры), из них:</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на первичном рынке жилья 9 жилых помещений;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lastRenderedPageBreak/>
        <w:t>на вторичном рынке жилья 10 жилых помещения,</w:t>
      </w:r>
    </w:p>
    <w:p w:rsidR="00B52DE3" w:rsidRDefault="00DE73E3">
      <w:pPr>
        <w:widowControl w:val="0"/>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 xml:space="preserve">предоставлено 22 благоустроенных жилых помещения по договорам найма жилого помещения для детей-сирот и детей, оставшихся без попечения родителей, лиц из числа детей-сирот и детей, оставшихся без попечения родителей, из них: </w:t>
      </w:r>
    </w:p>
    <w:p w:rsidR="00B52DE3" w:rsidRDefault="00DE73E3">
      <w:pPr>
        <w:widowControl w:val="0"/>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2 жилых помещения приобретенных в 2024 году;</w:t>
      </w:r>
    </w:p>
    <w:p w:rsidR="00B52DE3" w:rsidRDefault="00DE73E3">
      <w:pPr>
        <w:widowControl w:val="0"/>
        <w:tabs>
          <w:tab w:val="left" w:pos="709"/>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жилое помещение перераспределено в связи со смертью нанимателя.</w:t>
      </w:r>
    </w:p>
    <w:p w:rsidR="00B52DE3" w:rsidRDefault="00DE73E3">
      <w:pPr>
        <w:widowControl w:val="0"/>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2025 году проведено 14 заседаний жилищной комиссии Уссурийского городского округа.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заключено 11 договоров коммерческого найма жилого помещения, перезаключены на новый срок 39 договоров.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заключено договоров найма жилых помещений специализированного жилищного фонда: по договорам найма служебного жилого помещения – 10, договорам найма жилого помещения маневренного фонда - 18; по договорам найма жилого помещения для детей-сирот и дети, оставшихся без попечения родителей, лица из числа детей-сирот и детей, оставшихся без попечения родителей, лиц из числа детей-сирот и детей, оставшихся без попечения родителей - 22, перезаключено на новый срок -                    7 договоров. Подготовлено дополнительных соглашений к договорам - 46.</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поступило 3 заявления на приватизацию служебного жилого помещения муниципального специализированного жилищного фонда Уссурийского городского округа.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в рамках муниципальной услуги по заключению договоров социального найма на жилые помещения муниципального жилищного фонда подготовлено договоров социального найма - 234, дополнительных соглашений - 255, отказано в заключении 98 заявителям, соглашений о расторжении договоров социального найма - 33, подготовлено дубликатов договоров социального найма - 27.</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2025 году проводилась следующая работа, направленная на </w:t>
      </w:r>
      <w:r>
        <w:rPr>
          <w:rFonts w:ascii="Times New Roman" w:eastAsia="Times New Roman" w:hAnsi="Times New Roman" w:cs="Times New Roman"/>
          <w:sz w:val="28"/>
          <w:szCs w:val="28"/>
        </w:rPr>
        <w:lastRenderedPageBreak/>
        <w:t>взыскание дебиторской задолженности за наем муниципальных жилых помещений:</w:t>
      </w:r>
    </w:p>
    <w:p w:rsidR="00B52DE3" w:rsidRDefault="00B52DE3">
      <w:pPr>
        <w:widowControl w:val="0"/>
        <w:spacing w:after="0" w:line="360" w:lineRule="auto"/>
        <w:ind w:firstLine="709"/>
        <w:jc w:val="both"/>
        <w:rPr>
          <w:rFonts w:ascii="Times New Roman" w:hAnsi="Times New Roman" w:cs="Times New Roman"/>
          <w:sz w:val="28"/>
          <w:szCs w:val="28"/>
        </w:rPr>
      </w:pPr>
    </w:p>
    <w:tbl>
      <w:tblPr>
        <w:tblW w:w="9890" w:type="dxa"/>
        <w:tblInd w:w="-254" w:type="dxa"/>
        <w:tblLayout w:type="fixed"/>
        <w:tblLook w:val="04A0"/>
      </w:tblPr>
      <w:tblGrid>
        <w:gridCol w:w="655"/>
        <w:gridCol w:w="2604"/>
        <w:gridCol w:w="1845"/>
        <w:gridCol w:w="1667"/>
        <w:gridCol w:w="1574"/>
        <w:gridCol w:w="1545"/>
      </w:tblGrid>
      <w:tr w:rsidR="00B52DE3">
        <w:trPr>
          <w:trHeight w:val="1066"/>
        </w:trPr>
        <w:tc>
          <w:tcPr>
            <w:tcW w:w="65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w:t>
            </w:r>
            <w:proofErr w:type="spell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п</w:t>
            </w:r>
            <w:proofErr w:type="spellEnd"/>
          </w:p>
        </w:tc>
        <w:tc>
          <w:tcPr>
            <w:tcW w:w="260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jc w:val="both"/>
              <w:rPr>
                <w:rFonts w:ascii="Times New Roman" w:hAnsi="Times New Roman" w:cs="Times New Roman"/>
              </w:rPr>
            </w:pPr>
            <w:r>
              <w:rPr>
                <w:rFonts w:ascii="Times New Roman" w:eastAsia="Times New Roman" w:hAnsi="Times New Roman" w:cs="Times New Roman"/>
                <w:color w:val="000000"/>
                <w:sz w:val="28"/>
                <w:szCs w:val="28"/>
              </w:rPr>
              <w:t>Наименование</w:t>
            </w:r>
          </w:p>
        </w:tc>
        <w:tc>
          <w:tcPr>
            <w:tcW w:w="184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ind w:right="-108"/>
              <w:rPr>
                <w:rFonts w:ascii="Times New Roman" w:hAnsi="Times New Roman" w:cs="Times New Roman"/>
              </w:rPr>
            </w:pPr>
            <w:r>
              <w:rPr>
                <w:rFonts w:ascii="Times New Roman" w:eastAsia="Times New Roman" w:hAnsi="Times New Roman" w:cs="Times New Roman"/>
                <w:color w:val="000000"/>
                <w:sz w:val="28"/>
                <w:szCs w:val="28"/>
              </w:rPr>
              <w:t>1 квартал 2025 года</w:t>
            </w:r>
          </w:p>
        </w:tc>
        <w:tc>
          <w:tcPr>
            <w:tcW w:w="1667"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ind w:right="-108"/>
              <w:rPr>
                <w:rFonts w:ascii="Times New Roman" w:hAnsi="Times New Roman" w:cs="Times New Roman"/>
              </w:rPr>
            </w:pPr>
            <w:r>
              <w:rPr>
                <w:rFonts w:ascii="Times New Roman" w:eastAsia="Times New Roman" w:hAnsi="Times New Roman" w:cs="Times New Roman"/>
                <w:color w:val="000000"/>
                <w:sz w:val="28"/>
                <w:szCs w:val="28"/>
              </w:rPr>
              <w:t>2 квартал 2025 года</w:t>
            </w:r>
          </w:p>
        </w:tc>
        <w:tc>
          <w:tcPr>
            <w:tcW w:w="15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ind w:right="-108"/>
              <w:rPr>
                <w:rFonts w:ascii="Times New Roman" w:hAnsi="Times New Roman" w:cs="Times New Roman"/>
              </w:rPr>
            </w:pPr>
            <w:r>
              <w:rPr>
                <w:rFonts w:ascii="Times New Roman" w:eastAsia="Times New Roman" w:hAnsi="Times New Roman" w:cs="Times New Roman"/>
                <w:color w:val="000000"/>
                <w:sz w:val="28"/>
                <w:szCs w:val="28"/>
              </w:rPr>
              <w:t>3 квартал 2025 года</w:t>
            </w:r>
          </w:p>
        </w:tc>
        <w:tc>
          <w:tcPr>
            <w:tcW w:w="1545"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ind w:right="-108"/>
              <w:rPr>
                <w:rFonts w:ascii="Times New Roman" w:hAnsi="Times New Roman" w:cs="Times New Roman"/>
              </w:rPr>
            </w:pPr>
            <w:r>
              <w:rPr>
                <w:rFonts w:ascii="Times New Roman" w:eastAsia="Times New Roman" w:hAnsi="Times New Roman" w:cs="Times New Roman"/>
                <w:color w:val="000000"/>
                <w:sz w:val="28"/>
                <w:szCs w:val="28"/>
              </w:rPr>
              <w:t>4 квартал 2025 года</w:t>
            </w:r>
          </w:p>
        </w:tc>
      </w:tr>
      <w:tr w:rsidR="00B52DE3">
        <w:trPr>
          <w:trHeight w:val="295"/>
        </w:trPr>
        <w:tc>
          <w:tcPr>
            <w:tcW w:w="65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ind w:firstLine="709"/>
              <w:rPr>
                <w:rFonts w:ascii="Times New Roman" w:hAnsi="Times New Roman" w:cs="Times New Roman"/>
              </w:rPr>
            </w:pPr>
            <w:r>
              <w:rPr>
                <w:rFonts w:ascii="Times New Roman" w:eastAsia="Times New Roman" w:hAnsi="Times New Roman" w:cs="Times New Roman"/>
                <w:color w:val="000000"/>
                <w:sz w:val="28"/>
                <w:szCs w:val="28"/>
              </w:rPr>
              <w:t>1</w:t>
            </w:r>
          </w:p>
        </w:tc>
        <w:tc>
          <w:tcPr>
            <w:tcW w:w="260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color w:val="000000"/>
                <w:sz w:val="28"/>
                <w:szCs w:val="28"/>
              </w:rPr>
              <w:t>Общая сумма задолженности за наем жилых помещений муниципального жилого фонда/ количество должников</w:t>
            </w:r>
          </w:p>
        </w:tc>
        <w:tc>
          <w:tcPr>
            <w:tcW w:w="184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color w:val="000000"/>
                <w:sz w:val="28"/>
                <w:szCs w:val="28"/>
              </w:rPr>
              <w:t>27 587,00 тыс. рублей/1336</w:t>
            </w:r>
          </w:p>
        </w:tc>
        <w:tc>
          <w:tcPr>
            <w:tcW w:w="1667"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color w:val="000000"/>
                <w:sz w:val="28"/>
                <w:szCs w:val="28"/>
              </w:rPr>
              <w:t>27952,00 тыс. рублей/1028</w:t>
            </w:r>
          </w:p>
        </w:tc>
        <w:tc>
          <w:tcPr>
            <w:tcW w:w="15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color w:val="000000"/>
                <w:sz w:val="28"/>
                <w:szCs w:val="28"/>
              </w:rPr>
              <w:t>28438,00 тыс. рублей/1136</w:t>
            </w:r>
          </w:p>
        </w:tc>
        <w:tc>
          <w:tcPr>
            <w:tcW w:w="1545"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sz w:val="28"/>
                <w:szCs w:val="28"/>
              </w:rPr>
              <w:t xml:space="preserve">28643,79 </w:t>
            </w:r>
            <w:r>
              <w:rPr>
                <w:rFonts w:ascii="Times New Roman" w:eastAsia="Times New Roman" w:hAnsi="Times New Roman" w:cs="Times New Roman"/>
                <w:color w:val="000000"/>
                <w:sz w:val="28"/>
                <w:szCs w:val="28"/>
              </w:rPr>
              <w:t>тыс. рублей/1052</w:t>
            </w:r>
          </w:p>
        </w:tc>
      </w:tr>
      <w:tr w:rsidR="00B52DE3">
        <w:tc>
          <w:tcPr>
            <w:tcW w:w="65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ind w:firstLine="709"/>
              <w:rPr>
                <w:rFonts w:ascii="Times New Roman" w:hAnsi="Times New Roman" w:cs="Times New Roman"/>
              </w:rPr>
            </w:pPr>
            <w:r>
              <w:rPr>
                <w:rFonts w:ascii="Times New Roman" w:eastAsia="Times New Roman" w:hAnsi="Times New Roman" w:cs="Times New Roman"/>
                <w:color w:val="000000"/>
                <w:sz w:val="28"/>
                <w:szCs w:val="28"/>
              </w:rPr>
              <w:t>2</w:t>
            </w:r>
          </w:p>
        </w:tc>
        <w:tc>
          <w:tcPr>
            <w:tcW w:w="260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color w:val="000000"/>
                <w:sz w:val="28"/>
                <w:szCs w:val="28"/>
              </w:rPr>
              <w:t>Общая сумма задолженности, поступившая в рамках исполнительного производства</w:t>
            </w:r>
          </w:p>
        </w:tc>
        <w:tc>
          <w:tcPr>
            <w:tcW w:w="184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color w:val="000000"/>
                <w:sz w:val="28"/>
                <w:szCs w:val="28"/>
              </w:rPr>
              <w:t xml:space="preserve">141947 тыс. рублей по 136 </w:t>
            </w:r>
            <w:proofErr w:type="spellStart"/>
            <w:r>
              <w:rPr>
                <w:rFonts w:ascii="Times New Roman" w:eastAsia="Times New Roman" w:hAnsi="Times New Roman" w:cs="Times New Roman"/>
                <w:color w:val="000000"/>
                <w:sz w:val="28"/>
                <w:szCs w:val="28"/>
              </w:rPr>
              <w:t>исполни-тельным</w:t>
            </w:r>
            <w:proofErr w:type="spellEnd"/>
            <w:r>
              <w:rPr>
                <w:rFonts w:ascii="Times New Roman" w:eastAsia="Times New Roman" w:hAnsi="Times New Roman" w:cs="Times New Roman"/>
                <w:color w:val="000000"/>
                <w:sz w:val="28"/>
                <w:szCs w:val="28"/>
              </w:rPr>
              <w:t xml:space="preserve"> документам</w:t>
            </w:r>
          </w:p>
        </w:tc>
        <w:tc>
          <w:tcPr>
            <w:tcW w:w="1667"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color w:val="000000"/>
                <w:sz w:val="28"/>
                <w:szCs w:val="28"/>
              </w:rPr>
              <w:t xml:space="preserve">319,14 тыс. рублей по 218 </w:t>
            </w:r>
            <w:proofErr w:type="spellStart"/>
            <w:r>
              <w:rPr>
                <w:rFonts w:ascii="Times New Roman" w:eastAsia="Times New Roman" w:hAnsi="Times New Roman" w:cs="Times New Roman"/>
                <w:color w:val="000000"/>
                <w:sz w:val="28"/>
                <w:szCs w:val="28"/>
              </w:rPr>
              <w:t>исполни-тельным</w:t>
            </w:r>
            <w:proofErr w:type="spellEnd"/>
            <w:r>
              <w:rPr>
                <w:rFonts w:ascii="Times New Roman" w:eastAsia="Times New Roman" w:hAnsi="Times New Roman" w:cs="Times New Roman"/>
                <w:color w:val="000000"/>
                <w:sz w:val="28"/>
                <w:szCs w:val="28"/>
              </w:rPr>
              <w:t xml:space="preserve"> документам</w:t>
            </w:r>
          </w:p>
        </w:tc>
        <w:tc>
          <w:tcPr>
            <w:tcW w:w="15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color w:val="000000"/>
                <w:sz w:val="28"/>
                <w:szCs w:val="28"/>
              </w:rPr>
              <w:t xml:space="preserve">432613,34 тыс. рублей по 242 </w:t>
            </w:r>
            <w:proofErr w:type="spellStart"/>
            <w:r>
              <w:rPr>
                <w:rFonts w:ascii="Times New Roman" w:eastAsia="Times New Roman" w:hAnsi="Times New Roman" w:cs="Times New Roman"/>
                <w:color w:val="000000"/>
                <w:sz w:val="28"/>
                <w:szCs w:val="28"/>
              </w:rPr>
              <w:t>испол-нительным</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докумен-там</w:t>
            </w:r>
            <w:proofErr w:type="spellEnd"/>
          </w:p>
        </w:tc>
        <w:tc>
          <w:tcPr>
            <w:tcW w:w="1545"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color w:val="000000"/>
                <w:sz w:val="28"/>
                <w:szCs w:val="28"/>
              </w:rPr>
              <w:t xml:space="preserve">544,9 тыс. рублей по 388 </w:t>
            </w:r>
            <w:proofErr w:type="spellStart"/>
            <w:r>
              <w:rPr>
                <w:rFonts w:ascii="Times New Roman" w:eastAsia="Times New Roman" w:hAnsi="Times New Roman" w:cs="Times New Roman"/>
                <w:color w:val="000000"/>
                <w:sz w:val="28"/>
                <w:szCs w:val="28"/>
              </w:rPr>
              <w:t>испол-нительным</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докумен-там</w:t>
            </w:r>
            <w:proofErr w:type="spellEnd"/>
          </w:p>
        </w:tc>
      </w:tr>
      <w:tr w:rsidR="00B52DE3">
        <w:trPr>
          <w:trHeight w:val="2125"/>
        </w:trPr>
        <w:tc>
          <w:tcPr>
            <w:tcW w:w="65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ind w:firstLine="709"/>
              <w:rPr>
                <w:rFonts w:ascii="Times New Roman" w:hAnsi="Times New Roman" w:cs="Times New Roman"/>
              </w:rPr>
            </w:pPr>
            <w:r>
              <w:rPr>
                <w:rFonts w:ascii="Times New Roman" w:eastAsia="Times New Roman" w:hAnsi="Times New Roman" w:cs="Times New Roman"/>
                <w:color w:val="000000"/>
                <w:sz w:val="28"/>
                <w:szCs w:val="28"/>
              </w:rPr>
              <w:t>3</w:t>
            </w:r>
          </w:p>
        </w:tc>
        <w:tc>
          <w:tcPr>
            <w:tcW w:w="260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color w:val="000000"/>
                <w:sz w:val="28"/>
                <w:szCs w:val="28"/>
              </w:rPr>
              <w:t>Количество межведомственных комиссий по взысканию с населения задолженности за ЖКУ</w:t>
            </w:r>
          </w:p>
        </w:tc>
        <w:tc>
          <w:tcPr>
            <w:tcW w:w="184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ind w:firstLine="709"/>
              <w:jc w:val="center"/>
              <w:rPr>
                <w:rFonts w:ascii="Times New Roman" w:hAnsi="Times New Roman" w:cs="Times New Roman"/>
              </w:rPr>
            </w:pPr>
            <w:r>
              <w:rPr>
                <w:rFonts w:ascii="Times New Roman" w:eastAsia="Times New Roman" w:hAnsi="Times New Roman" w:cs="Times New Roman"/>
                <w:color w:val="000000"/>
                <w:sz w:val="28"/>
                <w:szCs w:val="28"/>
              </w:rPr>
              <w:t>4</w:t>
            </w:r>
          </w:p>
        </w:tc>
        <w:tc>
          <w:tcPr>
            <w:tcW w:w="1667"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ind w:firstLine="709"/>
              <w:jc w:val="center"/>
              <w:rPr>
                <w:rFonts w:ascii="Times New Roman" w:hAnsi="Times New Roman" w:cs="Times New Roman"/>
              </w:rPr>
            </w:pPr>
            <w:r>
              <w:rPr>
                <w:rFonts w:ascii="Times New Roman" w:eastAsia="Times New Roman" w:hAnsi="Times New Roman" w:cs="Times New Roman"/>
                <w:color w:val="000000"/>
                <w:sz w:val="28"/>
                <w:szCs w:val="28"/>
              </w:rPr>
              <w:t>10</w:t>
            </w:r>
          </w:p>
        </w:tc>
        <w:tc>
          <w:tcPr>
            <w:tcW w:w="15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color w:val="000000"/>
                <w:sz w:val="28"/>
                <w:szCs w:val="28"/>
              </w:rPr>
              <w:t>15</w:t>
            </w:r>
          </w:p>
        </w:tc>
        <w:tc>
          <w:tcPr>
            <w:tcW w:w="1545"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color w:val="000000"/>
                <w:sz w:val="28"/>
                <w:szCs w:val="28"/>
              </w:rPr>
              <w:t>22</w:t>
            </w:r>
          </w:p>
        </w:tc>
      </w:tr>
      <w:tr w:rsidR="00B52DE3">
        <w:tc>
          <w:tcPr>
            <w:tcW w:w="65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ind w:firstLine="709"/>
              <w:rPr>
                <w:rFonts w:ascii="Times New Roman" w:hAnsi="Times New Roman" w:cs="Times New Roman"/>
              </w:rPr>
            </w:pPr>
            <w:r>
              <w:rPr>
                <w:rFonts w:ascii="Times New Roman" w:eastAsia="Times New Roman" w:hAnsi="Times New Roman" w:cs="Times New Roman"/>
                <w:color w:val="000000"/>
                <w:sz w:val="28"/>
                <w:szCs w:val="28"/>
              </w:rPr>
              <w:t>4</w:t>
            </w:r>
          </w:p>
        </w:tc>
        <w:tc>
          <w:tcPr>
            <w:tcW w:w="260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Количество уведомлений о наличии задолженности, направленных почтовым уведомлением</w:t>
            </w:r>
          </w:p>
        </w:tc>
        <w:tc>
          <w:tcPr>
            <w:tcW w:w="184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ind w:firstLine="709"/>
              <w:jc w:val="center"/>
              <w:rPr>
                <w:rFonts w:ascii="Times New Roman" w:hAnsi="Times New Roman" w:cs="Times New Roman"/>
              </w:rPr>
            </w:pPr>
            <w:r>
              <w:rPr>
                <w:rFonts w:ascii="Times New Roman" w:eastAsia="Times New Roman" w:hAnsi="Times New Roman" w:cs="Times New Roman"/>
                <w:color w:val="000000"/>
                <w:sz w:val="28"/>
                <w:szCs w:val="28"/>
              </w:rPr>
              <w:t>198</w:t>
            </w:r>
          </w:p>
        </w:tc>
        <w:tc>
          <w:tcPr>
            <w:tcW w:w="1667"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ind w:firstLine="709"/>
              <w:jc w:val="center"/>
              <w:rPr>
                <w:rFonts w:ascii="Times New Roman" w:hAnsi="Times New Roman" w:cs="Times New Roman"/>
              </w:rPr>
            </w:pPr>
            <w:r>
              <w:rPr>
                <w:rFonts w:ascii="Times New Roman" w:eastAsia="Times New Roman" w:hAnsi="Times New Roman" w:cs="Times New Roman"/>
                <w:color w:val="000000"/>
                <w:sz w:val="28"/>
                <w:szCs w:val="28"/>
              </w:rPr>
              <w:t>354</w:t>
            </w:r>
          </w:p>
        </w:tc>
        <w:tc>
          <w:tcPr>
            <w:tcW w:w="15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ind w:firstLine="709"/>
              <w:jc w:val="center"/>
              <w:rPr>
                <w:rFonts w:ascii="Times New Roman" w:hAnsi="Times New Roman" w:cs="Times New Roman"/>
              </w:rPr>
            </w:pPr>
            <w:r>
              <w:rPr>
                <w:rFonts w:ascii="Times New Roman" w:eastAsia="Times New Roman" w:hAnsi="Times New Roman" w:cs="Times New Roman"/>
                <w:color w:val="000000"/>
                <w:sz w:val="28"/>
                <w:szCs w:val="28"/>
              </w:rPr>
              <w:t>459</w:t>
            </w:r>
          </w:p>
        </w:tc>
        <w:tc>
          <w:tcPr>
            <w:tcW w:w="1545"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ind w:firstLine="709"/>
              <w:jc w:val="center"/>
              <w:rPr>
                <w:rFonts w:ascii="Times New Roman" w:hAnsi="Times New Roman" w:cs="Times New Roman"/>
              </w:rPr>
            </w:pPr>
            <w:r>
              <w:rPr>
                <w:rFonts w:ascii="Times New Roman" w:eastAsia="Times New Roman" w:hAnsi="Times New Roman" w:cs="Times New Roman"/>
                <w:color w:val="000000"/>
                <w:sz w:val="28"/>
                <w:szCs w:val="28"/>
              </w:rPr>
              <w:t>467</w:t>
            </w:r>
          </w:p>
        </w:tc>
      </w:tr>
      <w:tr w:rsidR="00B52DE3">
        <w:tc>
          <w:tcPr>
            <w:tcW w:w="65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ind w:firstLine="709"/>
              <w:rPr>
                <w:rFonts w:ascii="Times New Roman" w:hAnsi="Times New Roman" w:cs="Times New Roman"/>
              </w:rPr>
            </w:pPr>
            <w:r>
              <w:rPr>
                <w:rFonts w:ascii="Times New Roman" w:eastAsia="Times New Roman" w:hAnsi="Times New Roman" w:cs="Times New Roman"/>
                <w:color w:val="000000"/>
                <w:sz w:val="28"/>
                <w:szCs w:val="28"/>
              </w:rPr>
              <w:t>5</w:t>
            </w:r>
          </w:p>
        </w:tc>
        <w:tc>
          <w:tcPr>
            <w:tcW w:w="260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color w:val="000000"/>
                <w:sz w:val="28"/>
                <w:szCs w:val="28"/>
              </w:rPr>
              <w:t>Списано безнадежной к взысканию задолженности, тыс. рублей</w:t>
            </w:r>
          </w:p>
        </w:tc>
        <w:tc>
          <w:tcPr>
            <w:tcW w:w="184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color w:val="000000"/>
                <w:sz w:val="28"/>
                <w:szCs w:val="28"/>
              </w:rPr>
              <w:t>199,43 тыс. рублей</w:t>
            </w:r>
          </w:p>
        </w:tc>
        <w:tc>
          <w:tcPr>
            <w:tcW w:w="1667"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color w:val="000000"/>
                <w:sz w:val="28"/>
                <w:szCs w:val="28"/>
              </w:rPr>
              <w:t>601,33 тыс. рублей</w:t>
            </w:r>
          </w:p>
        </w:tc>
        <w:tc>
          <w:tcPr>
            <w:tcW w:w="15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color w:val="000000"/>
                <w:sz w:val="28"/>
                <w:szCs w:val="28"/>
              </w:rPr>
              <w:t>711,52 тыс. рублей</w:t>
            </w:r>
          </w:p>
        </w:tc>
        <w:tc>
          <w:tcPr>
            <w:tcW w:w="1545"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line="240" w:lineRule="auto"/>
              <w:rPr>
                <w:rFonts w:ascii="Times New Roman" w:hAnsi="Times New Roman" w:cs="Times New Roman"/>
              </w:rPr>
            </w:pPr>
            <w:r>
              <w:rPr>
                <w:rFonts w:ascii="Times New Roman" w:eastAsia="Times New Roman" w:hAnsi="Times New Roman" w:cs="Times New Roman"/>
                <w:color w:val="000000"/>
                <w:sz w:val="28"/>
                <w:szCs w:val="28"/>
              </w:rPr>
              <w:t>1722,5 тыс. рублей</w:t>
            </w:r>
          </w:p>
        </w:tc>
      </w:tr>
    </w:tbl>
    <w:p w:rsidR="00B52DE3" w:rsidRDefault="00B52DE3">
      <w:pPr>
        <w:widowControl w:val="0"/>
        <w:spacing w:after="0" w:line="360" w:lineRule="auto"/>
        <w:ind w:firstLine="709"/>
        <w:jc w:val="both"/>
        <w:rPr>
          <w:rFonts w:ascii="Times New Roman" w:hAnsi="Times New Roman" w:cs="Times New Roman"/>
        </w:rPr>
      </w:pPr>
    </w:p>
    <w:p w:rsidR="00B52DE3" w:rsidRDefault="00DE73E3">
      <w:pPr>
        <w:widowControl w:val="0"/>
        <w:spacing w:after="0" w:line="360" w:lineRule="auto"/>
        <w:ind w:right="-141" w:firstLine="709"/>
        <w:jc w:val="both"/>
        <w:rPr>
          <w:rFonts w:ascii="Times New Roman" w:hAnsi="Times New Roman" w:cs="Times New Roman"/>
        </w:rPr>
      </w:pPr>
      <w:r>
        <w:rPr>
          <w:rFonts w:ascii="Times New Roman" w:eastAsia="Times New Roman" w:hAnsi="Times New Roman" w:cs="Times New Roman"/>
          <w:sz w:val="28"/>
          <w:szCs w:val="28"/>
        </w:rPr>
        <w:lastRenderedPageBreak/>
        <w:t>За 2025 год в целях осуществления контроля по взысканию задолженности с недобросовестных нанимателей, а также по исполнительным производствам в целях взаимодействия с отделом судебных приставов                           по г. Уссурийску управлением жилищной политики:</w:t>
      </w:r>
    </w:p>
    <w:p w:rsidR="00B52DE3" w:rsidRDefault="00DE73E3">
      <w:pPr>
        <w:widowControl w:val="0"/>
        <w:spacing w:after="0" w:line="360" w:lineRule="auto"/>
        <w:ind w:right="-141" w:firstLine="709"/>
        <w:jc w:val="both"/>
        <w:rPr>
          <w:rFonts w:ascii="Times New Roman" w:hAnsi="Times New Roman" w:cs="Times New Roman"/>
        </w:rPr>
      </w:pPr>
      <w:r>
        <w:rPr>
          <w:rFonts w:ascii="Times New Roman" w:eastAsia="Times New Roman" w:hAnsi="Times New Roman" w:cs="Times New Roman"/>
          <w:sz w:val="28"/>
          <w:szCs w:val="28"/>
        </w:rPr>
        <w:t>направлено 144 судебных приказа на сумму 3311,47 тыс. рублей;</w:t>
      </w:r>
    </w:p>
    <w:p w:rsidR="00B52DE3" w:rsidRDefault="00DE73E3">
      <w:pPr>
        <w:widowControl w:val="0"/>
        <w:spacing w:after="0" w:line="360" w:lineRule="auto"/>
        <w:ind w:right="-141" w:firstLine="709"/>
        <w:jc w:val="both"/>
        <w:rPr>
          <w:rFonts w:ascii="Times New Roman" w:hAnsi="Times New Roman" w:cs="Times New Roman"/>
        </w:rPr>
      </w:pPr>
      <w:r>
        <w:rPr>
          <w:rFonts w:ascii="Times New Roman" w:eastAsia="Times New Roman" w:hAnsi="Times New Roman" w:cs="Times New Roman"/>
          <w:sz w:val="28"/>
          <w:szCs w:val="28"/>
        </w:rPr>
        <w:t>направлены пакеты документов на взыскание задолженности в судебном порядке в количестве 55 штук на сумму 2152,37 тыс. рублей.</w:t>
      </w:r>
    </w:p>
    <w:p w:rsidR="00B52DE3" w:rsidRDefault="00DE73E3">
      <w:pPr>
        <w:widowControl w:val="0"/>
        <w:spacing w:after="0" w:line="360" w:lineRule="auto"/>
        <w:ind w:right="-141" w:firstLine="709"/>
        <w:jc w:val="both"/>
        <w:rPr>
          <w:rFonts w:ascii="Times New Roman" w:hAnsi="Times New Roman" w:cs="Times New Roman"/>
        </w:rPr>
      </w:pPr>
      <w:r>
        <w:rPr>
          <w:rFonts w:ascii="Times New Roman" w:eastAsia="Times New Roman" w:hAnsi="Times New Roman" w:cs="Times New Roman"/>
          <w:sz w:val="28"/>
          <w:szCs w:val="28"/>
        </w:rPr>
        <w:t>В соответствии с Жилищным кодексом Российской Федерации, Законом Приморского края от 11 ноября 2005 года № 297-КЗ «О порядке ведения органами местного самоуправления Приморского края учета граждан в качестве нуждающихся в жилых помещениях, предоставляемых по договорам социального найма» управлением жилищной политики с 01 августа 2025 года принято 215 заявлений о перерегистрации граждан, состоящих на учете в качестве нуждающихся в жилом помещении, для подтверждения нуждаемости в жилых помещениях.</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в рамках муниципальной услуги по предоставлению муниципальной услуги «Согласование перепланировки и (или) переустройства помещения в многоквартирном доме» выдано решений о согласовании переустройства и (или) перепланировки помещения в многоквартирном доме - 72, отказано в согласовании переустройства и (или) перепланировки  помещения в многоквартирном доме 3 заявителям, выдано актов приемочной комиссии по завершению перепланировки и (или) переустройству помещения в многоквартирном доме - 75.</w:t>
      </w:r>
    </w:p>
    <w:p w:rsidR="00B52DE3" w:rsidRDefault="00DE73E3">
      <w:pPr>
        <w:widowControl w:val="0"/>
        <w:spacing w:after="0" w:line="360" w:lineRule="auto"/>
        <w:ind w:right="-141" w:firstLine="709"/>
        <w:jc w:val="both"/>
        <w:rPr>
          <w:rFonts w:ascii="Times New Roman" w:hAnsi="Times New Roman" w:cs="Times New Roman"/>
        </w:rPr>
      </w:pPr>
      <w:r>
        <w:rPr>
          <w:rFonts w:ascii="Times New Roman" w:eastAsia="Times New Roman" w:hAnsi="Times New Roman" w:cs="Times New Roman"/>
          <w:sz w:val="28"/>
          <w:szCs w:val="28"/>
        </w:rPr>
        <w:t xml:space="preserve">С целью реализации регионального проекта «1000 дворов», муниципальной подпрограммы «100 дворов Уссурийска» на территории Уссурийского городского округа в 2025 году выполнены работы по асфальтированию на 1 дворовой территории по адресу: ул. Горького, д. 56.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целях реализации программных мероприятий в 2025 году доведено и освоено лимитов: 1030927,84 рублей, где размер </w:t>
      </w:r>
      <w:proofErr w:type="spellStart"/>
      <w:r>
        <w:rPr>
          <w:rFonts w:ascii="Times New Roman" w:eastAsia="Times New Roman" w:hAnsi="Times New Roman" w:cs="Times New Roman"/>
          <w:sz w:val="28"/>
          <w:szCs w:val="28"/>
        </w:rPr>
        <w:t>софинансирования</w:t>
      </w:r>
      <w:proofErr w:type="spellEnd"/>
      <w:r>
        <w:rPr>
          <w:rFonts w:ascii="Times New Roman" w:eastAsia="Times New Roman" w:hAnsi="Times New Roman" w:cs="Times New Roman"/>
          <w:sz w:val="28"/>
          <w:szCs w:val="28"/>
        </w:rPr>
        <w:t xml:space="preserve"> равен 3% </w:t>
      </w:r>
      <w:r>
        <w:rPr>
          <w:rFonts w:ascii="Times New Roman" w:eastAsia="Times New Roman" w:hAnsi="Times New Roman" w:cs="Times New Roman"/>
          <w:sz w:val="28"/>
          <w:szCs w:val="28"/>
        </w:rPr>
        <w:lastRenderedPageBreak/>
        <w:t>и составляет 30927,84 рублей местного бюджета, финансирование из краевого бюджета составляет 1000000,00 рублей.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целях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в 2025 году дополнительно из краевого бюджета доведены и освоены в полном объеме лимиты в размере 26 853 401,97 рублей на выполнение комплексного благоустройства дворовых территорий, где размер </w:t>
      </w:r>
      <w:proofErr w:type="spellStart"/>
      <w:r>
        <w:rPr>
          <w:rFonts w:ascii="Times New Roman" w:eastAsia="Times New Roman" w:hAnsi="Times New Roman" w:cs="Times New Roman"/>
          <w:sz w:val="28"/>
          <w:szCs w:val="28"/>
        </w:rPr>
        <w:t>софинансирования</w:t>
      </w:r>
      <w:proofErr w:type="spellEnd"/>
      <w:r>
        <w:rPr>
          <w:rFonts w:ascii="Times New Roman" w:eastAsia="Times New Roman" w:hAnsi="Times New Roman" w:cs="Times New Roman"/>
          <w:sz w:val="28"/>
          <w:szCs w:val="28"/>
        </w:rPr>
        <w:t xml:space="preserve"> составил 1% из местного бюджета в сумме 268534,02 рублей, размер финансирования из краевого бюджета составил  26584867,95 рублей.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На 5 дворовых территориях было выполнено 7 мероприятий: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4 – обустройство детской площадки;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3 – асфальтирование придомовой территории.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по программным мероприятиям работы выполнены подрядчиками в полном объеме и приняты Общественной комиссией по осуществлению контроля за ходом выполнения подпрограммы «100 дворов Уссурийска» на 2019-2030 годы муниципальной программы «Формирование современной городской среды Уссурийского городского округа Приморского края» на 2018-2030 годы, без замечаний.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Предоставление субсидии в адрес управляющих организаций произведено в установленный срок.</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 целью реализации муниципальной программы «Проведение капитального ремонта общего имущества многоквартирных домов, муниципальных жилых помещений и проведение мероприятий, </w:t>
      </w:r>
      <w:r>
        <w:rPr>
          <w:rFonts w:ascii="Times New Roman" w:eastAsia="Times New Roman" w:hAnsi="Times New Roman" w:cs="Times New Roman"/>
          <w:color w:val="000000"/>
          <w:sz w:val="28"/>
          <w:szCs w:val="28"/>
        </w:rPr>
        <w:t>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свободного муниципального жилищного фонда,                        на 2018-2025 годы»</w:t>
      </w:r>
      <w:r>
        <w:rPr>
          <w:rFonts w:ascii="Times New Roman" w:eastAsia="Times New Roman" w:hAnsi="Times New Roman" w:cs="Times New Roman"/>
          <w:sz w:val="28"/>
          <w:szCs w:val="28"/>
        </w:rPr>
        <w:t xml:space="preserve">, утвержденной постановлением администрации </w:t>
      </w:r>
      <w:r>
        <w:rPr>
          <w:rFonts w:ascii="Times New Roman" w:eastAsia="Times New Roman" w:hAnsi="Times New Roman" w:cs="Times New Roman"/>
          <w:sz w:val="28"/>
          <w:szCs w:val="28"/>
        </w:rPr>
        <w:lastRenderedPageBreak/>
        <w:t>Уссурийского городского округа Приморского края от 03 мая 2017 года № 1377-НПА: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 рамках мероприятия «Создание и поддержание благоприятных условий для управления многоквартирными домами» выполнены работы по ремонту подъездов в 16 многоквартирных домах (68 подъездов).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целях реализации мероприятия по ремонту подъездов на 2025 год доведено лимитов: 10183454,59 рублей, где размер </w:t>
      </w:r>
      <w:proofErr w:type="spellStart"/>
      <w:r>
        <w:rPr>
          <w:rFonts w:ascii="Times New Roman" w:eastAsia="Times New Roman" w:hAnsi="Times New Roman" w:cs="Times New Roman"/>
          <w:sz w:val="28"/>
          <w:szCs w:val="28"/>
        </w:rPr>
        <w:t>софинансирования</w:t>
      </w:r>
      <w:proofErr w:type="spellEnd"/>
      <w:r>
        <w:rPr>
          <w:rFonts w:ascii="Times New Roman" w:eastAsia="Times New Roman" w:hAnsi="Times New Roman" w:cs="Times New Roman"/>
          <w:sz w:val="28"/>
          <w:szCs w:val="28"/>
        </w:rPr>
        <w:t xml:space="preserve"> равен 3% и составляет 305 503,64 рублей местного бюджета, финансирование из краевого бюджета составляет 9 877 950,95 рублей.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рамках мероприятия «Капитальный ремонт многоквартирных домов, в том числе установка узлов учета потребления </w:t>
      </w:r>
      <w:proofErr w:type="spellStart"/>
      <w:r>
        <w:rPr>
          <w:rFonts w:ascii="Times New Roman" w:eastAsia="Times New Roman" w:hAnsi="Times New Roman" w:cs="Times New Roman"/>
          <w:sz w:val="28"/>
          <w:szCs w:val="28"/>
        </w:rPr>
        <w:t>теплоэнергии</w:t>
      </w:r>
      <w:proofErr w:type="spellEnd"/>
      <w:r>
        <w:rPr>
          <w:rFonts w:ascii="Times New Roman" w:eastAsia="Times New Roman" w:hAnsi="Times New Roman" w:cs="Times New Roman"/>
          <w:sz w:val="28"/>
          <w:szCs w:val="28"/>
        </w:rPr>
        <w:t xml:space="preserve"> с системой погодного регулирования» выполнены работы по установке узлов учета потребления </w:t>
      </w:r>
      <w:proofErr w:type="spellStart"/>
      <w:r>
        <w:rPr>
          <w:rFonts w:ascii="Times New Roman" w:eastAsia="Times New Roman" w:hAnsi="Times New Roman" w:cs="Times New Roman"/>
          <w:sz w:val="28"/>
          <w:szCs w:val="28"/>
        </w:rPr>
        <w:t>теплоэнергии</w:t>
      </w:r>
      <w:proofErr w:type="spellEnd"/>
      <w:r>
        <w:rPr>
          <w:rFonts w:ascii="Times New Roman" w:eastAsia="Times New Roman" w:hAnsi="Times New Roman" w:cs="Times New Roman"/>
          <w:sz w:val="28"/>
          <w:szCs w:val="28"/>
        </w:rPr>
        <w:t xml:space="preserve"> с системой погодного регулирования                                 в 9 многоквартирных домах.</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целях реализации мероприятия по установке узлов учета потребления </w:t>
      </w:r>
      <w:proofErr w:type="spellStart"/>
      <w:r>
        <w:rPr>
          <w:rFonts w:ascii="Times New Roman" w:eastAsia="Times New Roman" w:hAnsi="Times New Roman" w:cs="Times New Roman"/>
          <w:sz w:val="28"/>
          <w:szCs w:val="28"/>
        </w:rPr>
        <w:t>теплоэнергии</w:t>
      </w:r>
      <w:proofErr w:type="spellEnd"/>
      <w:r>
        <w:rPr>
          <w:rFonts w:ascii="Times New Roman" w:eastAsia="Times New Roman" w:hAnsi="Times New Roman" w:cs="Times New Roman"/>
          <w:sz w:val="28"/>
          <w:szCs w:val="28"/>
        </w:rPr>
        <w:t xml:space="preserve"> с системой погодного регулирования на 2025 год доведено лимитов: 12 950 600,00 рублей, где размер </w:t>
      </w:r>
      <w:proofErr w:type="spellStart"/>
      <w:r>
        <w:rPr>
          <w:rFonts w:ascii="Times New Roman" w:eastAsia="Times New Roman" w:hAnsi="Times New Roman" w:cs="Times New Roman"/>
          <w:sz w:val="28"/>
          <w:szCs w:val="28"/>
        </w:rPr>
        <w:t>софинансирования</w:t>
      </w:r>
      <w:proofErr w:type="spellEnd"/>
      <w:r>
        <w:rPr>
          <w:rFonts w:ascii="Times New Roman" w:eastAsia="Times New Roman" w:hAnsi="Times New Roman" w:cs="Times New Roman"/>
          <w:sz w:val="28"/>
          <w:szCs w:val="28"/>
        </w:rPr>
        <w:t xml:space="preserve"> равен 49% и составляет 6 574 333,10 рублей местного бюджета, финансирование из краевого бюджета составляет 6 376 266,90 рублей.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 рамках мероприятия «Капитальный и текущий ремонт муниципальных жилых помещений; проведение санитарно-эпидемиологической экспертизы условий проживания. Обследование жилых помещений на соответствие требованиям пожарной безопасности»                                на 2025 год доведено 12450532,68 рублей</w:t>
      </w:r>
      <w:r>
        <w:rPr>
          <w:rFonts w:ascii="Times New Roman" w:eastAsia="Times New Roman" w:hAnsi="Times New Roman" w:cs="Times New Roman"/>
          <w:color w:val="000000"/>
          <w:sz w:val="24"/>
          <w:szCs w:val="28"/>
        </w:rPr>
        <w:t xml:space="preserve">, </w:t>
      </w:r>
      <w:r>
        <w:rPr>
          <w:rFonts w:ascii="Times New Roman" w:eastAsia="Times New Roman" w:hAnsi="Times New Roman" w:cs="Times New Roman"/>
          <w:color w:val="000000"/>
          <w:sz w:val="28"/>
          <w:szCs w:val="28"/>
        </w:rPr>
        <w:t>выполнен текущий ремонт                    24 муниципальных жилых помещений на сумму 12447411,00 рублей.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2025 году жилищным отделом управления жилищной политики администрации Уссурийского городского округа Приморского края проведено 220 заседаний межведомственной комиссии по признанию домов аварийными и подлежащими сносу или реконструкции, а также жилых </w:t>
      </w:r>
      <w:r>
        <w:rPr>
          <w:rFonts w:ascii="Times New Roman" w:eastAsia="Times New Roman" w:hAnsi="Times New Roman" w:cs="Times New Roman"/>
          <w:sz w:val="28"/>
          <w:szCs w:val="28"/>
        </w:rPr>
        <w:lastRenderedPageBreak/>
        <w:t>помещений пригодных (непригодных) для проживания граждан, из них обследовано:</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71 МКД, по результатам обследования признаны аварийными и подлежащими сносу или реконструкции 62 МКД;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149 жилых помещения.</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рамках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были заключены муниципальные контракты:</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на выполнение работ по обследованию элементов ограждающих и несущих конструкций на 42 МКД;</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на приобретение жилых помещений в муниципальную собственность Уссурийского городского округа на условиях купли-продажи жилых помещений в рамках реализации муниципальной программы «Переселение граждан из аварийного жилищного фонда в Уссурийском городском округе на 2019-2026 годы», было заключено 19 муниципальных контрактов и приобретено </w:t>
      </w:r>
      <w:r>
        <w:rPr>
          <w:rFonts w:ascii="Times New Roman" w:eastAsia="Times New Roman" w:hAnsi="Times New Roman" w:cs="Times New Roman"/>
          <w:sz w:val="28"/>
          <w:szCs w:val="28"/>
          <w:lang w:eastAsia="ru-RU"/>
        </w:rPr>
        <w:t>19 жилых помещений на общую сумму 144 479 182,45 руб.</w:t>
      </w:r>
    </w:p>
    <w:p w:rsidR="00B52DE3" w:rsidRDefault="00DE73E3">
      <w:pPr>
        <w:widowControl w:val="0"/>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В 2025 году проведены работы по ограничению доступа третьих лиц в 23 многоквартирном доме, признанных аварийными и подлежащими сносу в связи с физическим износом в процессе эксплуатации.</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проведены работы по сносу расселенных МКД, признанных аварийными и подлежащими сносу в связи с физическим износом в процессе эксплуатации:</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67 МКД снесены.</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В 2025 году 2 собственникам жилых помещений, расположенных в аварийных МКД на основании заключенных соглашений об изъятии недвижимости для муниципальных нужд было осуществлена выкупная стоимость в размере 11154579,21 руб. </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lastRenderedPageBreak/>
        <w:t>В 2025 году</w:t>
      </w:r>
      <w:r>
        <w:rPr>
          <w:rFonts w:ascii="Times New Roman" w:eastAsia="Times New Roman" w:hAnsi="Times New Roman" w:cs="Times New Roman"/>
          <w:sz w:val="28"/>
          <w:szCs w:val="28"/>
        </w:rPr>
        <w:t xml:space="preserve"> в рамках реализации мероприятий по оснащению мест проживания многодетных семей, детей участников специальной военной операции, семей с детьми, попавших в трудную жизненную ситуацию автономными дымовыми пожарными </w:t>
      </w:r>
      <w:proofErr w:type="spellStart"/>
      <w:r>
        <w:rPr>
          <w:rFonts w:ascii="Times New Roman" w:eastAsia="Times New Roman" w:hAnsi="Times New Roman" w:cs="Times New Roman"/>
          <w:sz w:val="28"/>
          <w:szCs w:val="28"/>
        </w:rPr>
        <w:t>извещателями</w:t>
      </w:r>
      <w:proofErr w:type="spellEnd"/>
      <w:r>
        <w:rPr>
          <w:rFonts w:ascii="Times New Roman" w:eastAsia="Times New Roman" w:hAnsi="Times New Roman" w:cs="Times New Roman"/>
          <w:sz w:val="28"/>
          <w:szCs w:val="28"/>
        </w:rPr>
        <w:t xml:space="preserve"> (далее - АДПИ),                     103 семьи оснащены АДПИ.</w:t>
      </w:r>
    </w:p>
    <w:p w:rsidR="00B52DE3" w:rsidRDefault="00DE73E3">
      <w:pPr>
        <w:tabs>
          <w:tab w:val="left" w:pos="709"/>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Постоянно и своевременно проводились работы по внесению данных и отчетов о признании жилищного фонда аварийным и подлежащим сносу в систему ГИС ЖКХ, АИС «Реформа ЖКХ», Барс.</w:t>
      </w:r>
    </w:p>
    <w:p w:rsidR="00B52DE3" w:rsidRDefault="00B52DE3">
      <w:pPr>
        <w:tabs>
          <w:tab w:val="left" w:pos="709"/>
        </w:tabs>
        <w:spacing w:after="0" w:line="360" w:lineRule="auto"/>
        <w:ind w:firstLine="709"/>
        <w:jc w:val="both"/>
        <w:rPr>
          <w:rFonts w:ascii="Times New Roman" w:hAnsi="Times New Roman" w:cs="Times New Roman"/>
        </w:rPr>
      </w:pPr>
    </w:p>
    <w:p w:rsidR="00B52DE3" w:rsidRDefault="00DE73E3">
      <w:pPr>
        <w:pStyle w:val="1fe"/>
        <w:keepNext w:val="0"/>
        <w:keepLines w:val="0"/>
        <w:spacing w:before="0" w:line="240" w:lineRule="auto"/>
      </w:pPr>
      <w:bookmarkStart w:id="25" w:name="_Toc26"/>
      <w:r>
        <w:rPr>
          <w:rFonts w:eastAsia="Times New Roman"/>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bookmarkEnd w:id="25"/>
    </w:p>
    <w:p w:rsidR="00B52DE3" w:rsidRDefault="00B52DE3">
      <w:pPr>
        <w:pStyle w:val="1fe"/>
        <w:keepNext w:val="0"/>
        <w:keepLines w:val="0"/>
        <w:spacing w:before="0" w:line="240" w:lineRule="auto"/>
        <w:rPr>
          <w:color w:val="auto"/>
        </w:rPr>
      </w:pPr>
    </w:p>
    <w:p w:rsidR="00B52DE3" w:rsidRDefault="00B52DE3">
      <w:pPr>
        <w:pStyle w:val="1fe"/>
        <w:keepNext w:val="0"/>
        <w:keepLines w:val="0"/>
        <w:spacing w:before="0" w:line="240" w:lineRule="auto"/>
        <w:rPr>
          <w:color w:val="auto"/>
        </w:rPr>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2025 году выполнялись следующие мероприятия:</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Проведены аукционы на перевозку граждан по регулируемому тарифу по следующим направлениям:</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 116 «Автовокзал - </w:t>
      </w:r>
      <w:proofErr w:type="spellStart"/>
      <w:r>
        <w:rPr>
          <w:rFonts w:ascii="Times New Roman" w:eastAsia="Times New Roman" w:hAnsi="Times New Roman" w:cs="Times New Roman"/>
          <w:sz w:val="28"/>
          <w:szCs w:val="28"/>
        </w:rPr>
        <w:t>Линевичи</w:t>
      </w:r>
      <w:proofErr w:type="spellEnd"/>
      <w:r>
        <w:rPr>
          <w:rFonts w:ascii="Times New Roman" w:eastAsia="Times New Roman" w:hAnsi="Times New Roman" w:cs="Times New Roman"/>
          <w:sz w:val="28"/>
          <w:szCs w:val="28"/>
        </w:rPr>
        <w:t xml:space="preserve">», № 121 «Рынок - Красный Яр», № 123 С «Рынок - Заречное», № 4 «Рынок - Доброполье», № 7 «Рынок - Детская больница», № 20 «Рынок - Картонный комбинат», № 114-107 «Автовокзал - </w:t>
      </w:r>
      <w:proofErr w:type="spellStart"/>
      <w:r>
        <w:rPr>
          <w:rFonts w:ascii="Times New Roman" w:eastAsia="Times New Roman" w:hAnsi="Times New Roman" w:cs="Times New Roman"/>
          <w:sz w:val="28"/>
          <w:szCs w:val="28"/>
        </w:rPr>
        <w:t>Монакино</w:t>
      </w:r>
      <w:proofErr w:type="spellEnd"/>
      <w:r>
        <w:rPr>
          <w:rFonts w:ascii="Times New Roman" w:eastAsia="Times New Roman" w:hAnsi="Times New Roman" w:cs="Times New Roman"/>
          <w:sz w:val="28"/>
          <w:szCs w:val="28"/>
        </w:rPr>
        <w:t xml:space="preserve">», № 106 «Автовокзал - </w:t>
      </w:r>
      <w:proofErr w:type="spellStart"/>
      <w:r>
        <w:rPr>
          <w:rFonts w:ascii="Times New Roman" w:eastAsia="Times New Roman" w:hAnsi="Times New Roman" w:cs="Times New Roman"/>
          <w:sz w:val="28"/>
          <w:szCs w:val="28"/>
        </w:rPr>
        <w:t>Кроуновка</w:t>
      </w:r>
      <w:proofErr w:type="spellEnd"/>
      <w:r>
        <w:rPr>
          <w:rFonts w:ascii="Times New Roman" w:eastAsia="Times New Roman" w:hAnsi="Times New Roman" w:cs="Times New Roman"/>
          <w:sz w:val="28"/>
          <w:szCs w:val="28"/>
        </w:rPr>
        <w:t xml:space="preserve">», № 112 «Рынок - </w:t>
      </w:r>
      <w:proofErr w:type="spellStart"/>
      <w:r>
        <w:rPr>
          <w:rFonts w:ascii="Times New Roman" w:eastAsia="Times New Roman" w:hAnsi="Times New Roman" w:cs="Times New Roman"/>
          <w:sz w:val="28"/>
          <w:szCs w:val="28"/>
        </w:rPr>
        <w:t>Боголюбовка</w:t>
      </w:r>
      <w:proofErr w:type="spellEnd"/>
      <w:r>
        <w:rPr>
          <w:rFonts w:ascii="Times New Roman" w:eastAsia="Times New Roman" w:hAnsi="Times New Roman" w:cs="Times New Roman"/>
          <w:sz w:val="28"/>
          <w:szCs w:val="28"/>
        </w:rPr>
        <w:t xml:space="preserve">», № 129-140 « Ж/Д вокзал - </w:t>
      </w:r>
      <w:proofErr w:type="spellStart"/>
      <w:r>
        <w:rPr>
          <w:rFonts w:ascii="Times New Roman" w:eastAsia="Times New Roman" w:hAnsi="Times New Roman" w:cs="Times New Roman"/>
          <w:sz w:val="28"/>
          <w:szCs w:val="28"/>
        </w:rPr>
        <w:t>Корфовка</w:t>
      </w:r>
      <w:proofErr w:type="spellEnd"/>
      <w:r>
        <w:rPr>
          <w:rFonts w:ascii="Times New Roman" w:eastAsia="Times New Roman" w:hAnsi="Times New Roman" w:cs="Times New Roman"/>
          <w:sz w:val="28"/>
          <w:szCs w:val="28"/>
        </w:rPr>
        <w:t xml:space="preserve">», № 117 «Рынок - </w:t>
      </w:r>
      <w:proofErr w:type="spellStart"/>
      <w:r>
        <w:rPr>
          <w:rFonts w:ascii="Times New Roman" w:eastAsia="Times New Roman" w:hAnsi="Times New Roman" w:cs="Times New Roman"/>
          <w:sz w:val="28"/>
          <w:szCs w:val="28"/>
        </w:rPr>
        <w:t>Горнотаежное</w:t>
      </w:r>
      <w:proofErr w:type="spellEnd"/>
      <w:r>
        <w:rPr>
          <w:rFonts w:ascii="Times New Roman" w:eastAsia="Times New Roman" w:hAnsi="Times New Roman" w:cs="Times New Roman"/>
          <w:sz w:val="28"/>
          <w:szCs w:val="28"/>
        </w:rPr>
        <w:t>», № 105 « Штаб Армии - с. Степное».</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Проведено 9 заседаний комиссии по обеспечению безопасности дорожного движения на территории Уссурийского городского округа по следующим вопросам:</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о ликвидации мест концентрации дорожно-транспортных происшествий в Уссурийском городском округе Приморского края и мероприятиях, принимаемых по обеспечению безопасности дорожного </w:t>
      </w:r>
      <w:r>
        <w:rPr>
          <w:rFonts w:ascii="Times New Roman" w:eastAsia="Times New Roman" w:hAnsi="Times New Roman" w:cs="Times New Roman"/>
          <w:sz w:val="28"/>
          <w:szCs w:val="28"/>
        </w:rPr>
        <w:lastRenderedPageBreak/>
        <w:t>движения и снижению тяжести последствий дорожно-транспортных происшествий в Уссурийском городском округе Приморского края;</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об установке дорожных знаков на территории Уссурийского городского округа Приморского края;</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об организация пешеходных переходов;</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об организации временного ограничения движения транспортных средств на автомобильных дорогах общего пользования при проведении массовых культурных мероприятий и производстве плановых ремонтных работ;</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об устройстве искусственных неровностей на автомобильных дорогах общего пользования.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рамках государственной программы Приморского края «Развитие транспортного комплекса Приморского края», утвержденной Постановлением Администрации Приморского края  от 27 декабря 2019 года № 919-па: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организованно транспортное обслуживание населения в границах муниципальных образований Приморского края (по регулируемому тарифу);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разработана проектно-сметная документация на строительство дорог общего пользования местного значения с устройством автомобильных парковок (проезд от ул. Рабочая, ул. Чичерина, ул. С. Ушакова) до объекта капитального строительства «Общеобразовательная школа на 110 мест по адресу: ул. Чичерина, 155,  г. Уссурийск, Приморский край).</w:t>
      </w:r>
    </w:p>
    <w:p w:rsidR="00B52DE3" w:rsidRDefault="00DE73E3">
      <w:pPr>
        <w:pStyle w:val="1fe"/>
        <w:keepNext w:val="0"/>
        <w:keepLines w:val="0"/>
        <w:spacing w:line="240" w:lineRule="auto"/>
      </w:pPr>
      <w:bookmarkStart w:id="26" w:name="_Toc27"/>
      <w:r>
        <w:rPr>
          <w:rFonts w:eastAsia="Times New Roman"/>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bookmarkEnd w:id="26"/>
    </w:p>
    <w:p w:rsidR="00B52DE3" w:rsidRDefault="00DE73E3">
      <w:pPr>
        <w:pStyle w:val="2f6"/>
        <w:keepNext w:val="0"/>
        <w:spacing w:line="240" w:lineRule="auto"/>
        <w:ind w:left="0"/>
      </w:pPr>
      <w:bookmarkStart w:id="27" w:name="_Toc28"/>
      <w:r>
        <w:t xml:space="preserve">Взаимодействие с подразделениями территориальных органов исполнительной власти в вопросах охраны общественного порядка и общественной безопасности, профилактики терроризма и экстремизма, </w:t>
      </w:r>
      <w:r>
        <w:lastRenderedPageBreak/>
        <w:t xml:space="preserve">профилактики наркомании на территории Уссурийского городского округа Приморского края </w:t>
      </w:r>
      <w:bookmarkEnd w:id="27"/>
    </w:p>
    <w:p w:rsidR="00B52DE3" w:rsidRDefault="00B52DE3">
      <w:pPr>
        <w:pStyle w:val="2f6"/>
        <w:keepNext w:val="0"/>
        <w:spacing w:line="240" w:lineRule="auto"/>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проведены 5 заседаний антитеррористической комиссии (АППГ – 4).</w:t>
      </w:r>
    </w:p>
    <w:p w:rsidR="00B52DE3" w:rsidRDefault="00DE73E3">
      <w:pPr>
        <w:widowControl w:val="0"/>
        <w:tabs>
          <w:tab w:val="left" w:pos="287"/>
          <w:tab w:val="left" w:pos="709"/>
          <w:tab w:val="left" w:pos="900"/>
        </w:tabs>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Кроме того, мероприятия по профилактике терроризма и экстремизма осуществлялись в соответствии с планом по профилактике экстремистской деятельности на территории Уссурийского городского округа на 2025 год (утвержден постановлением администрации Уссурийского городского округа Приморского края от 19 февраля 2025 года № 977); с планом мероприятий по реализации Комплексного плана противодействия идеологии терроризма в Российской Федерации на 2024-2028 годы в Уссурийском городском округе на 2024-2028 годы (далее – Комплексный план противодействия идеологии терроризма) (утвержден постановлением администрации Уссурийского городского округа Приморского края от 22 июля 2024 года № 3731). </w:t>
      </w:r>
    </w:p>
    <w:p w:rsidR="00B52DE3" w:rsidRDefault="00DE73E3">
      <w:pPr>
        <w:widowControl w:val="0"/>
        <w:tabs>
          <w:tab w:val="left" w:pos="287"/>
          <w:tab w:val="left" w:pos="709"/>
          <w:tab w:val="left" w:pos="900"/>
        </w:tabs>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В 2025 году проведено 4 заседания рабочей группы по реализации Комплексного плана противодействия идеологии терроризма, рассмотрено                    7 вопросов. Обсуждались вопросы по организации мероприятий </w:t>
      </w:r>
      <w:r>
        <w:rPr>
          <w:rStyle w:val="FontStyle11"/>
          <w:rFonts w:eastAsia="Times New Roman"/>
          <w:color w:val="000000" w:themeColor="dark1"/>
          <w:sz w:val="28"/>
          <w:szCs w:val="28"/>
        </w:rPr>
        <w:t>общей, адресной и индивидуальной профилактики идеологии терроризма, неонацизма и сепаратизма и иной деструктивной идеологии</w:t>
      </w:r>
      <w:r>
        <w:rPr>
          <w:rFonts w:ascii="Times New Roman" w:eastAsia="Times New Roman" w:hAnsi="Times New Roman" w:cs="Times New Roman"/>
          <w:color w:val="000000" w:themeColor="dark1"/>
          <w:sz w:val="28"/>
          <w:szCs w:val="28"/>
        </w:rPr>
        <w:t xml:space="preserve"> на территории Уссурийского городского округа Приморского края.</w:t>
      </w:r>
    </w:p>
    <w:p w:rsidR="00B52DE3" w:rsidRDefault="00DE73E3">
      <w:pPr>
        <w:widowControl w:val="0"/>
        <w:tabs>
          <w:tab w:val="left" w:pos="287"/>
          <w:tab w:val="left" w:pos="709"/>
          <w:tab w:val="left" w:pos="900"/>
        </w:tabs>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В соответствии с Комплексным планом противодействия идеологии терроризма отраслевыми (функциональными) органами администрации Уссурийского городского округа проведено 930 мероприятий тематической направленности с общим охватом более 116 тысяч человек (АППГ –                        836 мероприятий с общим охватом около 112 тысячи человек). </w:t>
      </w:r>
    </w:p>
    <w:p w:rsidR="00B52DE3" w:rsidRDefault="00DE73E3">
      <w:pPr>
        <w:widowControl w:val="0"/>
        <w:spacing w:after="0" w:line="360" w:lineRule="auto"/>
        <w:ind w:firstLine="709"/>
        <w:jc w:val="both"/>
        <w:rPr>
          <w:rFonts w:ascii="Times New Roman" w:hAnsi="Times New Roman" w:cs="Times New Roman"/>
        </w:rPr>
      </w:pPr>
      <w:r>
        <w:rPr>
          <w:rStyle w:val="1d"/>
          <w:rFonts w:eastAsia="Times New Roman"/>
          <w:color w:val="000000" w:themeColor="dark1"/>
          <w:sz w:val="28"/>
          <w:szCs w:val="28"/>
        </w:rPr>
        <w:t xml:space="preserve">В 2025 году в администрации Уссурийского городского округа Приморского края </w:t>
      </w:r>
      <w:r>
        <w:rPr>
          <w:rFonts w:ascii="Times New Roman" w:eastAsia="Times New Roman" w:hAnsi="Times New Roman" w:cs="Times New Roman"/>
          <w:color w:val="000000" w:themeColor="dark1"/>
          <w:sz w:val="28"/>
          <w:szCs w:val="28"/>
        </w:rPr>
        <w:t xml:space="preserve">организованно проведение четырех совещаний при главе Уссурийского городского округа с начальниками отраслевых </w:t>
      </w:r>
      <w:r>
        <w:rPr>
          <w:rFonts w:ascii="Times New Roman" w:eastAsia="Times New Roman" w:hAnsi="Times New Roman" w:cs="Times New Roman"/>
          <w:color w:val="000000" w:themeColor="dark1"/>
          <w:sz w:val="28"/>
          <w:szCs w:val="28"/>
        </w:rPr>
        <w:lastRenderedPageBreak/>
        <w:t xml:space="preserve">(функциональных) органов администрации, руководителями организаций и предприятий по вопросу усиления антитеррористической защищенности объектов на территории Уссурийского городского округа Приморского края в период подготовки и проведения массовых мероприятий. В совещаниях </w:t>
      </w:r>
      <w:r>
        <w:rPr>
          <w:rFonts w:ascii="Times New Roman" w:eastAsia="Times New Roman" w:hAnsi="Times New Roman" w:cs="Times New Roman"/>
          <w:color w:val="000000" w:themeColor="dark1"/>
          <w:spacing w:val="-11"/>
          <w:sz w:val="28"/>
          <w:szCs w:val="28"/>
        </w:rPr>
        <w:t>приняли участие р</w:t>
      </w:r>
      <w:r>
        <w:rPr>
          <w:rFonts w:ascii="Times New Roman" w:eastAsia="Times New Roman" w:hAnsi="Times New Roman" w:cs="Times New Roman"/>
          <w:color w:val="000000" w:themeColor="dark1"/>
          <w:sz w:val="28"/>
          <w:szCs w:val="28"/>
        </w:rPr>
        <w:t xml:space="preserve">уководители учреждений среднего и высшего профессионального образования, общеобразовательных организаций, учреждений спорта, культуры и искусства, учреждений здравоохранения и соцзащиты, торговых организаций и гостиниц, промышленных предприятий, предприятий жизнеобеспечения (благоустройства) и транспортной инфраструктуры, ТСЖ и управляющих компаний. По итогам совещаний руководителям предприятий и организаций всех форм собственности выдано обязательное к исполнению решение о принятии дополнительных мер по </w:t>
      </w:r>
      <w:r>
        <w:rPr>
          <w:rFonts w:ascii="Times New Roman" w:eastAsia="Times New Roman" w:hAnsi="Times New Roman" w:cs="Times New Roman"/>
          <w:color w:val="000000" w:themeColor="dark1"/>
          <w:spacing w:val="-11"/>
          <w:sz w:val="28"/>
          <w:szCs w:val="28"/>
        </w:rPr>
        <w:t>усилению антитеррористической защищенности объектов</w:t>
      </w:r>
      <w:r>
        <w:rPr>
          <w:rFonts w:ascii="Times New Roman" w:eastAsia="Times New Roman" w:hAnsi="Times New Roman" w:cs="Times New Roman"/>
          <w:color w:val="000000" w:themeColor="dark1"/>
          <w:sz w:val="28"/>
          <w:szCs w:val="28"/>
        </w:rPr>
        <w:t>.</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lang w:eastAsia="zh-CN"/>
        </w:rPr>
        <w:t xml:space="preserve">В рамках муниципальной программы «Комплексные меры по профилактике правонарушений на территории Уссурийского городского округа» на 2018 – 2028 годы (далее – программа) </w:t>
      </w:r>
      <w:r>
        <w:rPr>
          <w:rFonts w:ascii="Times New Roman" w:eastAsia="Times New Roman" w:hAnsi="Times New Roman" w:cs="Times New Roman"/>
          <w:sz w:val="28"/>
          <w:szCs w:val="28"/>
          <w:lang w:eastAsia="zh-CN"/>
        </w:rPr>
        <w:t>изготовлены памятки, направленные на профилактику терроризма и экстремизма, памятки с телефонами экстренных служб, которые распространены в учреждениях культуры, образовательных, спортивных, лечебных учреждениях, в общественном транспорте, на автовокзале и железнодорожном вокзале, в учреждениях торговли и общественного питания, на территориях ТОС.</w:t>
      </w:r>
    </w:p>
    <w:p w:rsidR="00B52DE3" w:rsidRDefault="00DE73E3">
      <w:pPr>
        <w:pStyle w:val="2f6"/>
        <w:keepNext w:val="0"/>
        <w:spacing w:line="240" w:lineRule="auto"/>
        <w:ind w:left="0"/>
      </w:pPr>
      <w:bookmarkStart w:id="28" w:name="_Toc29"/>
      <w:r>
        <w:t xml:space="preserve">Деятельность, направленная на профилактику наркомании, реабилитацию и </w:t>
      </w:r>
      <w:proofErr w:type="spellStart"/>
      <w:r>
        <w:t>ресоциализацию</w:t>
      </w:r>
      <w:proofErr w:type="spellEnd"/>
      <w:r>
        <w:t xml:space="preserve"> наркозависимых лиц </w:t>
      </w:r>
      <w:bookmarkEnd w:id="28"/>
    </w:p>
    <w:p w:rsidR="00B52DE3" w:rsidRDefault="00B52DE3">
      <w:pPr>
        <w:pStyle w:val="2f6"/>
        <w:keepNext w:val="0"/>
        <w:spacing w:line="240" w:lineRule="auto"/>
        <w:ind w:left="0"/>
      </w:pP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t xml:space="preserve">В 2025 году проведено 4 заседания </w:t>
      </w:r>
      <w:proofErr w:type="spellStart"/>
      <w:r>
        <w:rPr>
          <w:rFonts w:ascii="Times New Roman" w:eastAsia="Times New Roman" w:hAnsi="Times New Roman" w:cs="Times New Roman"/>
          <w:color w:val="000000"/>
          <w:sz w:val="28"/>
          <w:szCs w:val="28"/>
          <w:lang w:eastAsia="zh-CN"/>
        </w:rPr>
        <w:t>антинаркотической</w:t>
      </w:r>
      <w:proofErr w:type="spellEnd"/>
      <w:r>
        <w:rPr>
          <w:rFonts w:ascii="Times New Roman" w:eastAsia="Times New Roman" w:hAnsi="Times New Roman" w:cs="Times New Roman"/>
          <w:color w:val="000000"/>
          <w:sz w:val="28"/>
          <w:szCs w:val="28"/>
          <w:lang w:eastAsia="zh-CN"/>
        </w:rPr>
        <w:t xml:space="preserve"> комиссии Уссурийского городского округа Приморского края (АППГ - 4), рассмотрено 17 вопросов (АППГ - 17). Обсуждались вопросы об оценке состояния </w:t>
      </w:r>
      <w:proofErr w:type="spellStart"/>
      <w:r>
        <w:rPr>
          <w:rFonts w:ascii="Times New Roman" w:eastAsia="Times New Roman" w:hAnsi="Times New Roman" w:cs="Times New Roman"/>
          <w:color w:val="000000"/>
          <w:sz w:val="28"/>
          <w:szCs w:val="28"/>
          <w:lang w:eastAsia="zh-CN"/>
        </w:rPr>
        <w:t>наркоситуации</w:t>
      </w:r>
      <w:proofErr w:type="spellEnd"/>
      <w:r>
        <w:rPr>
          <w:rFonts w:ascii="Times New Roman" w:eastAsia="Times New Roman" w:hAnsi="Times New Roman" w:cs="Times New Roman"/>
          <w:color w:val="000000"/>
          <w:sz w:val="28"/>
          <w:szCs w:val="28"/>
          <w:lang w:eastAsia="zh-CN"/>
        </w:rPr>
        <w:t xml:space="preserve"> в Уссурийском городском округе Приморского края, о состоянии работы по формированию и развитию в Уссурийском городском </w:t>
      </w:r>
      <w:r>
        <w:rPr>
          <w:rFonts w:ascii="Times New Roman" w:eastAsia="Times New Roman" w:hAnsi="Times New Roman" w:cs="Times New Roman"/>
          <w:color w:val="000000"/>
          <w:sz w:val="28"/>
          <w:szCs w:val="28"/>
          <w:lang w:eastAsia="zh-CN"/>
        </w:rPr>
        <w:lastRenderedPageBreak/>
        <w:t xml:space="preserve">округе Приморского края молодежного </w:t>
      </w:r>
      <w:proofErr w:type="spellStart"/>
      <w:r>
        <w:rPr>
          <w:rFonts w:ascii="Times New Roman" w:eastAsia="Times New Roman" w:hAnsi="Times New Roman" w:cs="Times New Roman"/>
          <w:color w:val="000000"/>
          <w:sz w:val="28"/>
          <w:szCs w:val="28"/>
          <w:lang w:eastAsia="zh-CN"/>
        </w:rPr>
        <w:t>антинаркотического</w:t>
      </w:r>
      <w:proofErr w:type="spellEnd"/>
      <w:r>
        <w:rPr>
          <w:rFonts w:ascii="Times New Roman" w:eastAsia="Times New Roman" w:hAnsi="Times New Roman" w:cs="Times New Roman"/>
          <w:color w:val="000000"/>
          <w:sz w:val="28"/>
          <w:szCs w:val="28"/>
          <w:lang w:eastAsia="zh-CN"/>
        </w:rPr>
        <w:t xml:space="preserve"> волонтерского движения, пропагандирующего здоровый образ жизни в молодежной среде, о мероприятиях по профилактике наркомании, токсикомании, </w:t>
      </w:r>
      <w:proofErr w:type="spellStart"/>
      <w:r>
        <w:rPr>
          <w:rFonts w:ascii="Times New Roman" w:eastAsia="Times New Roman" w:hAnsi="Times New Roman" w:cs="Times New Roman"/>
          <w:color w:val="000000"/>
          <w:sz w:val="28"/>
          <w:szCs w:val="28"/>
          <w:lang w:eastAsia="zh-CN"/>
        </w:rPr>
        <w:t>табакокурения</w:t>
      </w:r>
      <w:proofErr w:type="spellEnd"/>
      <w:r>
        <w:rPr>
          <w:rFonts w:ascii="Times New Roman" w:eastAsia="Times New Roman" w:hAnsi="Times New Roman" w:cs="Times New Roman"/>
          <w:color w:val="000000"/>
          <w:sz w:val="28"/>
          <w:szCs w:val="28"/>
          <w:lang w:eastAsia="zh-CN"/>
        </w:rPr>
        <w:t xml:space="preserve"> в молодежной среде в летний период и о проведении мероприятий, посвященных Международному дню борьбы с наркоманией, а также о проведении на территории Уссурийского городского округа Приморского края Всероссийской </w:t>
      </w:r>
      <w:proofErr w:type="spellStart"/>
      <w:r>
        <w:rPr>
          <w:rFonts w:ascii="Times New Roman" w:eastAsia="Times New Roman" w:hAnsi="Times New Roman" w:cs="Times New Roman"/>
          <w:color w:val="000000"/>
          <w:sz w:val="28"/>
          <w:szCs w:val="28"/>
          <w:lang w:eastAsia="zh-CN"/>
        </w:rPr>
        <w:t>антинаркотической</w:t>
      </w:r>
      <w:proofErr w:type="spellEnd"/>
      <w:r>
        <w:rPr>
          <w:rFonts w:ascii="Times New Roman" w:eastAsia="Times New Roman" w:hAnsi="Times New Roman" w:cs="Times New Roman"/>
          <w:color w:val="000000"/>
          <w:sz w:val="28"/>
          <w:szCs w:val="28"/>
          <w:lang w:eastAsia="zh-CN"/>
        </w:rPr>
        <w:t xml:space="preserve"> акции «Сообщи, где торгуют смертью» и оперативно-профилактической операции «МАК-2025».</w:t>
      </w: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t xml:space="preserve">В ходе подготовки и проведения Общероссийской </w:t>
      </w:r>
      <w:proofErr w:type="spellStart"/>
      <w:r>
        <w:rPr>
          <w:rFonts w:ascii="Times New Roman" w:eastAsia="Times New Roman" w:hAnsi="Times New Roman" w:cs="Times New Roman"/>
          <w:color w:val="000000"/>
          <w:sz w:val="28"/>
          <w:szCs w:val="28"/>
          <w:lang w:eastAsia="zh-CN"/>
        </w:rPr>
        <w:t>антинаркотической</w:t>
      </w:r>
      <w:proofErr w:type="spellEnd"/>
      <w:r>
        <w:rPr>
          <w:rFonts w:ascii="Times New Roman" w:eastAsia="Times New Roman" w:hAnsi="Times New Roman" w:cs="Times New Roman"/>
          <w:color w:val="000000"/>
          <w:sz w:val="28"/>
          <w:szCs w:val="28"/>
          <w:lang w:eastAsia="zh-CN"/>
        </w:rPr>
        <w:t xml:space="preserve"> акции «Сообщи, где торгуют смертью» (далее - Акция) выполнено следующее:</w:t>
      </w: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t>выделена телефонная линия для приема сообщений от граждан и организаций о преступлениях и правонарушениях в сфере незаконного оборота наркотиков;</w:t>
      </w: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t xml:space="preserve">назначен ответственный за фиксирование оперативно-значимой информации о преступлениях в сфере незаконного оборота наркотиков и передачу её ответственному за проведение акции сотруднику отдела по контролю за оборотом наркотиков Отдела МВД России по г. Уссурийску; </w:t>
      </w: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t xml:space="preserve">организовано информирование населения в средствах массовой информации и социальных сетях администрации Уссурийского городского округа о дате и времени проведения акции, номерах телефонов и времени присутствия сотрудников для приема сообщений. </w:t>
      </w: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t>В период проведения оперативно-профилактической операции «МАК-2025» (далее – операция) сотрудниками Отдела незаконного оборота наркотиков Отдела МВД России по г. Уссурийску совместно с сотрудниками администрации Уссурийского городского округа Приморского края обнаружено и уничтожено 5 очагов дикорастущей конопли, общей площадью - 7210 кв.м. За весь период проведения операции было выявлено                             21 преступление.</w:t>
      </w: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lastRenderedPageBreak/>
        <w:t xml:space="preserve">В рамках муниципальной программы «Комплексные меры по профилактике правонарушений на территории Уссурийского городского округа» на 2018 – 2028 годы (далее – муниципальная программа) изготовлена наглядно-агитационная продукция, направленная на профилактику наркомании, алкоголизма и </w:t>
      </w:r>
      <w:proofErr w:type="spellStart"/>
      <w:r>
        <w:rPr>
          <w:rFonts w:ascii="Times New Roman" w:eastAsia="Times New Roman" w:hAnsi="Times New Roman" w:cs="Times New Roman"/>
          <w:color w:val="000000"/>
          <w:sz w:val="28"/>
          <w:szCs w:val="28"/>
          <w:lang w:eastAsia="zh-CN"/>
        </w:rPr>
        <w:t>табакокурения</w:t>
      </w:r>
      <w:proofErr w:type="spellEnd"/>
      <w:r>
        <w:rPr>
          <w:rFonts w:ascii="Times New Roman" w:eastAsia="Times New Roman" w:hAnsi="Times New Roman" w:cs="Times New Roman"/>
          <w:color w:val="000000"/>
          <w:sz w:val="28"/>
          <w:szCs w:val="28"/>
          <w:lang w:eastAsia="zh-CN"/>
        </w:rPr>
        <w:t>, которые распространены в учреждениях культуры, образовательных, спортивных, лечебных учреждениях, в общественном транспорте, на автовокзале и железнодорожном вокзале, в учреждениях торговли и общественного питания, на территориях ТОС.</w:t>
      </w: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t xml:space="preserve">Выделенное из местного бюджета в 2025 году финансирование на мероприятия по профилактике незаконного потребления и распространения наркотических средств и </w:t>
      </w:r>
      <w:proofErr w:type="spellStart"/>
      <w:r>
        <w:rPr>
          <w:rFonts w:ascii="Times New Roman" w:eastAsia="Times New Roman" w:hAnsi="Times New Roman" w:cs="Times New Roman"/>
          <w:color w:val="000000"/>
          <w:sz w:val="28"/>
          <w:szCs w:val="28"/>
          <w:lang w:eastAsia="zh-CN"/>
        </w:rPr>
        <w:t>психоактивных</w:t>
      </w:r>
      <w:proofErr w:type="spellEnd"/>
      <w:r>
        <w:rPr>
          <w:rFonts w:ascii="Times New Roman" w:eastAsia="Times New Roman" w:hAnsi="Times New Roman" w:cs="Times New Roman"/>
          <w:color w:val="000000"/>
          <w:sz w:val="28"/>
          <w:szCs w:val="28"/>
          <w:lang w:eastAsia="zh-CN"/>
        </w:rPr>
        <w:t xml:space="preserve"> веществ на территории Уссурийского городского округа Приморского края, формирования негативного отношения к незаконному обороту и потребления наркотиков в сумме 30,00 тыс. рублей, освоено в полном объеме. </w:t>
      </w: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t>Мероприятия по профилактике незаконного потребления наркотических средств и психотропных веществ на территории Уссурийского городского округа Приморского края также осуществлялись в соответствии с:</w:t>
      </w: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t>планом по профилактике незаконного потребления наркотических средств и психотропных веществ на территории Уссурийского городского округа Приморского края на 2025 год (утвержден постановлением администрации Уссурийского городского округа Приморского края                           от 13 марта 2025 года № 169);</w:t>
      </w:r>
    </w:p>
    <w:p w:rsidR="00B52DE3" w:rsidRDefault="00DE73E3">
      <w:pPr>
        <w:widowControl w:val="0"/>
        <w:spacing w:after="0" w:line="360" w:lineRule="auto"/>
        <w:ind w:right="-27" w:firstLine="709"/>
        <w:jc w:val="both"/>
        <w:rPr>
          <w:rFonts w:ascii="Times New Roman" w:hAnsi="Times New Roman" w:cs="Times New Roman"/>
        </w:rPr>
      </w:pPr>
      <w:r>
        <w:rPr>
          <w:rFonts w:ascii="Times New Roman" w:eastAsia="Times New Roman" w:hAnsi="Times New Roman" w:cs="Times New Roman"/>
          <w:color w:val="000000"/>
          <w:sz w:val="28"/>
          <w:szCs w:val="28"/>
          <w:lang w:eastAsia="zh-CN"/>
        </w:rPr>
        <w:t>Отраслевыми (функциональными) органами администрации Уссурийского городского округа проведено 195 мероприятий тематической направленности с общим охватом более 40 тысяч человек.</w:t>
      </w:r>
    </w:p>
    <w:p w:rsidR="00B52DE3" w:rsidRDefault="00DE73E3">
      <w:pPr>
        <w:pStyle w:val="2f6"/>
        <w:keepNext w:val="0"/>
        <w:spacing w:line="240" w:lineRule="auto"/>
        <w:ind w:left="0"/>
      </w:pPr>
      <w:bookmarkStart w:id="29" w:name="_Toc30"/>
      <w:r>
        <w:t>Оказание поддержки гражданам и их объединениям, участвующим в охране общественного порядка, создание условий для деятельности народных дружин</w:t>
      </w:r>
      <w:bookmarkEnd w:id="29"/>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В 2025 году на территории Уссурийского городского округа действовали 4 народные дружины (АППГ– 6) и 17 общественных объединений правоохранительной направленности (АППГ - 17).</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000000" w:themeColor="dark1"/>
          <w:sz w:val="28"/>
          <w:szCs w:val="28"/>
        </w:rPr>
        <w:t>Три народные дружины (</w:t>
      </w:r>
      <w:r>
        <w:rPr>
          <w:rFonts w:ascii="Times New Roman" w:eastAsia="Times New Roman" w:hAnsi="Times New Roman" w:cs="Times New Roman"/>
          <w:sz w:val="28"/>
          <w:szCs w:val="28"/>
        </w:rPr>
        <w:t>«Ветераны ОМВД», «Дорожный патруль», «Гражданская позиция») прекратили свою деятельности</w:t>
      </w:r>
      <w:r>
        <w:rPr>
          <w:rFonts w:ascii="Times New Roman" w:eastAsia="Times New Roman" w:hAnsi="Times New Roman" w:cs="Times New Roman"/>
          <w:color w:val="000000" w:themeColor="dark1"/>
          <w:sz w:val="28"/>
          <w:szCs w:val="28"/>
        </w:rPr>
        <w:t xml:space="preserve"> по решению штаба по координации деятельности народных дружин в Уссурийском городском округе на основании заявлений командиров народных дружин. Создана одна народная дружина «СВОИ».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В 2025 году более 100 членов народных дружин и общественных объединений правоохранительной направленности, в том числе и сельских территорий, оказывали содействие Отделу МВД России по г. Уссурийску, Линейному отделу на ст. Уссурийск в обеспечении общественного порядка при проведении массовых мероприятий на территории Уссурийского городского округа: новогодних и рождественских праздников, мероприятий, посвящённых Дню памяти о россиянах, исполнявших служебный долг за пределами Отечества, Дню защитника Отечества, Дню Победы в Великой Отечественной войне, Дню города и других.</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По итогам работы за 12 месяцев 2025 года народными дружинниками выполнен 726 выходов по охране общественного порядка. Казаки казачьей дружины «Уссурийская казачья станица» выявили 84 правонарушителя, на которых составлены административные протоколы. Приняли участие в задержании гражданина по подозрению в совершении преступления                       (ч. 2 ст.228 УК РФ), и 2 граждан, находящихся в розыске за совершение преступлений, из них 1 гражданин, находящийся в федеральном розыске. Информация об участии дружинников в задержании гражданина за совершение преступления и выявлении правонарушений внесена в информационную базу Управления МВД России по Приморскому краю.</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Общественными объединениями правоохранительной направленности</w:t>
      </w:r>
      <w:r>
        <w:rPr>
          <w:rFonts w:ascii="Times New Roman" w:eastAsia="Times New Roman" w:hAnsi="Times New Roman" w:cs="Times New Roman"/>
          <w:bCs/>
          <w:color w:val="000000" w:themeColor="dark1"/>
          <w:sz w:val="28"/>
          <w:szCs w:val="28"/>
        </w:rPr>
        <w:t xml:space="preserve"> выполнено 236 </w:t>
      </w:r>
      <w:r>
        <w:rPr>
          <w:rFonts w:ascii="Times New Roman" w:eastAsia="Times New Roman" w:hAnsi="Times New Roman" w:cs="Times New Roman"/>
          <w:bCs/>
          <w:sz w:val="28"/>
          <w:szCs w:val="28"/>
        </w:rPr>
        <w:t xml:space="preserve">рейдов по охране общественного порядка с участием </w:t>
      </w:r>
      <w:r>
        <w:rPr>
          <w:rFonts w:ascii="Times New Roman" w:eastAsia="Times New Roman" w:hAnsi="Times New Roman" w:cs="Times New Roman"/>
          <w:bCs/>
          <w:sz w:val="28"/>
          <w:szCs w:val="28"/>
        </w:rPr>
        <w:lastRenderedPageBreak/>
        <w:t>сотрудников Отдела МВД России по г. Уссурийску. В ходе рейдов особое внимание уделялось проведению профилактической работы с несовершеннолетними. Проведено 183 беседы с подростками</w:t>
      </w:r>
      <w:r>
        <w:rPr>
          <w:rFonts w:ascii="Times New Roman" w:eastAsia="Times New Roman" w:hAnsi="Times New Roman" w:cs="Times New Roman"/>
          <w:sz w:val="28"/>
          <w:szCs w:val="28"/>
        </w:rPr>
        <w:t xml:space="preserve"> о вредных привычках и правилах дорожного движения, вручены памятки по профилактике наркомании и алкоголизма. На придомовых территориях распространены памятки «Ответственность за ложное сообщение об акте терроризма», «Как не быть завербованным», «Осторожно мошенники».</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 2025 году проведено 2 заседания штаба по координации деятельности народных дружин в Уссурийском городском округе (</w:t>
      </w:r>
      <w:r>
        <w:rPr>
          <w:rFonts w:ascii="Times New Roman" w:eastAsia="Times New Roman" w:hAnsi="Times New Roman" w:cs="Times New Roman"/>
          <w:bCs/>
          <w:color w:val="000000" w:themeColor="dark1"/>
          <w:sz w:val="28"/>
          <w:szCs w:val="28"/>
        </w:rPr>
        <w:t>АППГ –                  2 заседания).</w:t>
      </w:r>
      <w:r>
        <w:rPr>
          <w:rFonts w:ascii="Times New Roman" w:eastAsia="Times New Roman" w:hAnsi="Times New Roman" w:cs="Times New Roman"/>
          <w:color w:val="000000" w:themeColor="dark1"/>
          <w:sz w:val="28"/>
          <w:szCs w:val="28"/>
        </w:rPr>
        <w:t xml:space="preserve"> Рассмотрено 7 вопросов, основные из них: «</w:t>
      </w:r>
      <w:r>
        <w:rPr>
          <w:rFonts w:ascii="Times New Roman" w:eastAsia="Times New Roman" w:hAnsi="Times New Roman" w:cs="Times New Roman"/>
          <w:sz w:val="28"/>
          <w:szCs w:val="28"/>
        </w:rPr>
        <w:t>О состоянии преступности и оперативной обстановке на территории Уссурийского городского округа Приморского края»</w:t>
      </w:r>
      <w:r>
        <w:rPr>
          <w:rFonts w:ascii="Times New Roman" w:eastAsia="Times New Roman" w:hAnsi="Times New Roman" w:cs="Times New Roman"/>
          <w:color w:val="000000" w:themeColor="dark1"/>
          <w:sz w:val="28"/>
          <w:szCs w:val="28"/>
        </w:rPr>
        <w:t xml:space="preserve">; </w:t>
      </w:r>
      <w:r>
        <w:rPr>
          <w:rFonts w:ascii="Times New Roman" w:eastAsia="Times New Roman" w:hAnsi="Times New Roman" w:cs="Times New Roman"/>
          <w:sz w:val="28"/>
          <w:szCs w:val="28"/>
        </w:rPr>
        <w:t>«О привлечении народных дружин и общественных объединений правоохранительной направленности к участию в обеспечении охраны общественного порядка при проведении массовых мероприятий»</w:t>
      </w:r>
      <w:r>
        <w:rPr>
          <w:rFonts w:ascii="Times New Roman" w:eastAsia="Times New Roman" w:hAnsi="Times New Roman" w:cs="Times New Roman"/>
          <w:color w:val="000000" w:themeColor="dark1"/>
          <w:sz w:val="28"/>
          <w:szCs w:val="28"/>
        </w:rPr>
        <w:t xml:space="preserve">; </w:t>
      </w:r>
      <w:r>
        <w:rPr>
          <w:rFonts w:ascii="Times New Roman" w:eastAsia="Times New Roman" w:hAnsi="Times New Roman" w:cs="Times New Roman"/>
          <w:sz w:val="28"/>
          <w:szCs w:val="28"/>
        </w:rPr>
        <w:t xml:space="preserve">«О работе народных дружин и общественных объединений правоохранительной направленности в Уссурийском городском округе Приморского края в I квартале 2025 года и задачах на </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rPr>
        <w:t>I квартал 2025 года»</w:t>
      </w:r>
      <w:r>
        <w:rPr>
          <w:rFonts w:ascii="Times New Roman" w:eastAsia="Times New Roman" w:hAnsi="Times New Roman" w:cs="Times New Roman"/>
          <w:color w:val="000000" w:themeColor="dark1"/>
          <w:sz w:val="28"/>
          <w:szCs w:val="28"/>
        </w:rPr>
        <w:t>; «</w:t>
      </w:r>
      <w:r>
        <w:rPr>
          <w:rFonts w:ascii="Times New Roman" w:eastAsia="Times New Roman" w:hAnsi="Times New Roman" w:cs="Times New Roman"/>
          <w:sz w:val="28"/>
          <w:szCs w:val="28"/>
        </w:rPr>
        <w:t>О соблюдении требований п.2 ст.14 Федерального закона от 02 апреля                          2014 года № 44-ФЗ «Об участии граждан в охране общественного порядка»»</w:t>
      </w:r>
      <w:r>
        <w:rPr>
          <w:rFonts w:ascii="Times New Roman" w:eastAsia="Times New Roman" w:hAnsi="Times New Roman" w:cs="Times New Roman"/>
          <w:color w:val="000000" w:themeColor="dark1"/>
          <w:sz w:val="28"/>
          <w:szCs w:val="28"/>
        </w:rPr>
        <w:t xml:space="preserve">; </w:t>
      </w:r>
      <w:r>
        <w:rPr>
          <w:rFonts w:ascii="Times New Roman" w:eastAsia="Times New Roman" w:hAnsi="Times New Roman" w:cs="Times New Roman"/>
          <w:sz w:val="28"/>
          <w:szCs w:val="28"/>
        </w:rPr>
        <w:t xml:space="preserve">«Об оперативной обстановке на территории Уссурийского городского округа и правовой информации Отдела МВД России по г. Уссурийску»; «О работе народных дружин и общественных объединений правоохранительной направленности в Уссурийском городском округе Приморского края                              в 2025 году и задачах на </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rPr>
        <w:t xml:space="preserve"> полугодие 2026 года</w:t>
      </w:r>
      <w:r>
        <w:rPr>
          <w:rFonts w:ascii="Times New Roman" w:eastAsia="Times New Roman" w:hAnsi="Times New Roman" w:cs="Times New Roman"/>
          <w:color w:val="000000" w:themeColor="dark1"/>
          <w:sz w:val="28"/>
          <w:szCs w:val="28"/>
        </w:rPr>
        <w:t xml:space="preserve">»; </w:t>
      </w:r>
      <w:r>
        <w:rPr>
          <w:rFonts w:ascii="Times New Roman" w:eastAsia="Times New Roman" w:hAnsi="Times New Roman" w:cs="Times New Roman"/>
          <w:sz w:val="28"/>
          <w:szCs w:val="28"/>
        </w:rPr>
        <w:t>«Об утверждении плана работы штаба по координации деятельности народных дружин в Уссурийском городском округе на 2026 года</w:t>
      </w:r>
      <w:r>
        <w:rPr>
          <w:rFonts w:ascii="Times New Roman" w:eastAsia="Times New Roman" w:hAnsi="Times New Roman" w:cs="Times New Roman"/>
          <w:color w:val="000000" w:themeColor="dark1"/>
          <w:sz w:val="28"/>
          <w:szCs w:val="28"/>
        </w:rPr>
        <w:t>».</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рамках </w:t>
      </w:r>
      <w:r>
        <w:rPr>
          <w:rFonts w:ascii="Times New Roman" w:eastAsia="Times New Roman" w:hAnsi="Times New Roman" w:cs="Times New Roman"/>
          <w:bCs/>
          <w:sz w:val="28"/>
          <w:szCs w:val="28"/>
        </w:rPr>
        <w:t xml:space="preserve">муниципальной программы «Комплексные меры по профилактике правонарушений на территории Уссурийского городского округа» на 2018 – 2028 годы (далее – программа) </w:t>
      </w:r>
      <w:r>
        <w:rPr>
          <w:rFonts w:ascii="Times New Roman" w:eastAsia="Times New Roman" w:hAnsi="Times New Roman" w:cs="Times New Roman"/>
          <w:sz w:val="28"/>
          <w:szCs w:val="28"/>
        </w:rPr>
        <w:t xml:space="preserve">в октябре 2025 года </w:t>
      </w:r>
      <w:r>
        <w:rPr>
          <w:rFonts w:ascii="Times New Roman" w:eastAsia="Times New Roman" w:hAnsi="Times New Roman" w:cs="Times New Roman"/>
          <w:sz w:val="28"/>
          <w:szCs w:val="28"/>
        </w:rPr>
        <w:lastRenderedPageBreak/>
        <w:t xml:space="preserve">проведены конкурсы на «Лучшее общественное формирование правоохранительной направленности Уссурийского городского округа Приморского края» и «Лучший народный дружинник Уссурийского городского округа Приморского края». Рассмотрены заявки 10 народных дружин и ООПН, 2 народных дружинников. </w:t>
      </w:r>
    </w:p>
    <w:p w:rsidR="00B52DE3" w:rsidRDefault="00DE73E3">
      <w:pPr>
        <w:tabs>
          <w:tab w:val="left" w:pos="0"/>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8 победителей в трех номинациях (среди народных дружин, городских и сельских общественных объединений правоохранительной направленности) и 2 народных дружинников награждены дипломами и денежными премиями. На проведение конкурсов из бюджета Уссурийского городского округа выделено 189 000 рублей.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Также в рамках программы</w:t>
      </w:r>
      <w:r>
        <w:rPr>
          <w:rFonts w:ascii="Times New Roman" w:eastAsia="Times New Roman" w:hAnsi="Times New Roman" w:cs="Times New Roman"/>
          <w:color w:val="C00000"/>
          <w:sz w:val="28"/>
          <w:szCs w:val="28"/>
        </w:rPr>
        <w:t xml:space="preserve"> </w:t>
      </w:r>
      <w:r>
        <w:rPr>
          <w:rFonts w:ascii="Times New Roman" w:eastAsia="Times New Roman" w:hAnsi="Times New Roman" w:cs="Times New Roman"/>
          <w:sz w:val="28"/>
          <w:szCs w:val="28"/>
        </w:rPr>
        <w:t>и</w:t>
      </w:r>
      <w:r>
        <w:rPr>
          <w:rFonts w:ascii="Times New Roman" w:eastAsia="Times New Roman" w:hAnsi="Times New Roman" w:cs="Times New Roman"/>
          <w:sz w:val="28"/>
          <w:szCs w:val="28"/>
          <w:lang w:eastAsia="zh-CN"/>
        </w:rPr>
        <w:t>зготовлен и размещен на рекламной конструкции баннер по привлечению жителей Уссурийского городского округа к охране общественного порядка, приобретена форменная одежда народного дружинника (6 жилетов).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 xml:space="preserve">В целях дополнительного стимулирования работы народных дружинников и членов ООПН в 2025 году организовано льготное посещение МБУК «Уссурийский музей» </w:t>
      </w:r>
      <w:r>
        <w:rPr>
          <w:rFonts w:ascii="Times New Roman" w:eastAsia="Times New Roman" w:hAnsi="Times New Roman" w:cs="Times New Roman"/>
          <w:bCs/>
          <w:color w:val="000000" w:themeColor="dark1"/>
          <w:sz w:val="28"/>
          <w:szCs w:val="28"/>
        </w:rPr>
        <w:t xml:space="preserve">(посетили 28 человек), </w:t>
      </w:r>
      <w:r>
        <w:rPr>
          <w:rFonts w:ascii="Times New Roman" w:eastAsia="Times New Roman" w:hAnsi="Times New Roman" w:cs="Times New Roman"/>
          <w:bCs/>
          <w:color w:val="000000"/>
          <w:sz w:val="28"/>
          <w:szCs w:val="28"/>
        </w:rPr>
        <w:t>МАУ «Плавательный бассейн «Чайка» (</w:t>
      </w:r>
      <w:r>
        <w:rPr>
          <w:rFonts w:ascii="Times New Roman" w:eastAsia="Times New Roman" w:hAnsi="Times New Roman" w:cs="Times New Roman"/>
          <w:bCs/>
          <w:color w:val="000000" w:themeColor="dark1"/>
          <w:sz w:val="28"/>
          <w:szCs w:val="28"/>
        </w:rPr>
        <w:t>посетили 38 человек</w:t>
      </w:r>
      <w:r>
        <w:rPr>
          <w:rFonts w:ascii="Times New Roman" w:eastAsia="Times New Roman" w:hAnsi="Times New Roman" w:cs="Times New Roman"/>
          <w:bCs/>
          <w:color w:val="000000"/>
          <w:sz w:val="28"/>
          <w:szCs w:val="28"/>
        </w:rPr>
        <w:t>), легкоатлетических дорожек спортивного объекта стадион «Городской» (</w:t>
      </w:r>
      <w:r>
        <w:rPr>
          <w:rFonts w:ascii="Times New Roman" w:eastAsia="Times New Roman" w:hAnsi="Times New Roman" w:cs="Times New Roman"/>
          <w:bCs/>
          <w:color w:val="000000" w:themeColor="dark1"/>
          <w:sz w:val="28"/>
          <w:szCs w:val="28"/>
        </w:rPr>
        <w:t>посетили 35 человек</w:t>
      </w:r>
      <w:r>
        <w:rPr>
          <w:rFonts w:ascii="Times New Roman" w:eastAsia="Times New Roman" w:hAnsi="Times New Roman" w:cs="Times New Roman"/>
          <w:bCs/>
          <w:color w:val="000000"/>
          <w:sz w:val="28"/>
          <w:szCs w:val="28"/>
        </w:rPr>
        <w:t xml:space="preserve">). </w:t>
      </w:r>
    </w:p>
    <w:p w:rsidR="00B52DE3" w:rsidRDefault="00DE73E3">
      <w:pPr>
        <w:pStyle w:val="2f6"/>
        <w:keepNext w:val="0"/>
        <w:spacing w:line="240" w:lineRule="auto"/>
        <w:ind w:left="0"/>
      </w:pPr>
      <w:bookmarkStart w:id="30" w:name="_Toc31"/>
      <w:r>
        <w:t xml:space="preserve">Деятельность по внесению изменений в списки кандидатов в присяжные заседатели от Уссурийского городского округа   в Федеральные суды общей юрисдикции </w:t>
      </w:r>
      <w:bookmarkEnd w:id="30"/>
    </w:p>
    <w:p w:rsidR="00B52DE3" w:rsidRDefault="00B52DE3">
      <w:pPr>
        <w:pStyle w:val="2f6"/>
        <w:keepNext w:val="0"/>
        <w:spacing w:line="240" w:lineRule="auto"/>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В отчетном периоде осуществлялась работа по составлению (изменению) общих и запасных списков кандидатов в присяжные заседатели в Федеральные суды общей юрисдикции. Подготовлены списки кандидатов в присяжные заседателей </w:t>
      </w:r>
      <w:r>
        <w:rPr>
          <w:rFonts w:ascii="Times New Roman" w:eastAsia="Times New Roman" w:hAnsi="Times New Roman" w:cs="Times New Roman"/>
          <w:color w:val="000000" w:themeColor="dark1"/>
          <w:sz w:val="28"/>
          <w:szCs w:val="28"/>
        </w:rPr>
        <w:t>для Приморского краевого суда, Тихоокеанского флотского военного суда, Уссурийского гарнизонного военного суда, Уссурийского районного суда.</w:t>
      </w:r>
    </w:p>
    <w:p w:rsidR="00B52DE3" w:rsidRDefault="00DE73E3">
      <w:pPr>
        <w:pStyle w:val="Heading2"/>
        <w:jc w:val="center"/>
        <w:rPr>
          <w:rFonts w:ascii="Times New Roman" w:hAnsi="Times New Roman"/>
          <w:i w:val="0"/>
          <w:iCs w:val="0"/>
        </w:rPr>
      </w:pPr>
      <w:bookmarkStart w:id="31" w:name="_Toc32"/>
      <w:r>
        <w:rPr>
          <w:rFonts w:ascii="Times New Roman" w:hAnsi="Times New Roman"/>
          <w:i w:val="0"/>
          <w:iCs w:val="0"/>
        </w:rPr>
        <w:lastRenderedPageBreak/>
        <w:t>Ведение мониторинга общественно-политической ситуации на территории Уссурийского городского округа</w:t>
      </w:r>
      <w:bookmarkEnd w:id="31"/>
    </w:p>
    <w:p w:rsidR="00B52DE3" w:rsidRDefault="00B52DE3">
      <w:pPr>
        <w:pStyle w:val="ce3ff13fed3fee3fe23fed3fee3fe93ff23fe53fea3ff13ff23f"/>
        <w:widowControl w:val="0"/>
        <w:spacing w:after="0" w:line="240" w:lineRule="auto"/>
        <w:ind w:firstLine="709"/>
        <w:jc w:val="both"/>
        <w:rPr>
          <w:rFonts w:ascii="Times New Roman" w:hAnsi="Times New Roman" w:cs="Times New Roman"/>
        </w:rPr>
      </w:pPr>
    </w:p>
    <w:p w:rsidR="00B52DE3" w:rsidRDefault="00DE73E3">
      <w:pPr>
        <w:widowControl w:val="0"/>
        <w:spacing w:after="0" w:line="360" w:lineRule="auto"/>
        <w:ind w:left="20" w:right="40" w:firstLine="709"/>
        <w:jc w:val="both"/>
        <w:rPr>
          <w:rFonts w:ascii="Times New Roman" w:hAnsi="Times New Roman" w:cs="Times New Roman"/>
        </w:rPr>
      </w:pPr>
      <w:r>
        <w:rPr>
          <w:rFonts w:ascii="Times New Roman" w:eastAsia="Times New Roman" w:hAnsi="Times New Roman" w:cs="Times New Roman"/>
          <w:sz w:val="28"/>
          <w:szCs w:val="28"/>
        </w:rPr>
        <w:t xml:space="preserve">Общественно-политическая и криминогенная обстановка в вопросах профилактики терроризма и экстремизма </w:t>
      </w:r>
      <w:r>
        <w:rPr>
          <w:rFonts w:ascii="Times New Roman" w:eastAsia="Times New Roman" w:hAnsi="Times New Roman" w:cs="Times New Roman"/>
          <w:color w:val="000000"/>
          <w:sz w:val="28"/>
          <w:szCs w:val="28"/>
        </w:rPr>
        <w:t>на территории Уссурийского городского округа оценивается как сложная и контролируемая со стороны органов правопорядка и органов местного самоуправления. Общественно-политическая и криминогенная обстановка на территории Уссурийского  городского округа Приморского края стабильная.</w:t>
      </w:r>
    </w:p>
    <w:p w:rsidR="00B52DE3" w:rsidRDefault="00DE73E3">
      <w:pPr>
        <w:pStyle w:val="rtejustify1"/>
        <w:shd w:val="clear" w:color="auto" w:fill="FFFFFF"/>
        <w:spacing w:after="0" w:line="360" w:lineRule="auto"/>
        <w:rPr>
          <w:rFonts w:ascii="Times New Roman" w:hAnsi="Times New Roman" w:cs="Times New Roman"/>
        </w:rPr>
      </w:pPr>
      <w:r>
        <w:rPr>
          <w:rStyle w:val="FontStyle14"/>
          <w:rFonts w:cs="Times New Roman"/>
          <w:color w:val="000000"/>
          <w:sz w:val="28"/>
          <w:szCs w:val="28"/>
        </w:rPr>
        <w:t>Негативной деятельности общественных и религиозных объединений, способствующих террористическим и экстремистским проявлениям, не выявлено. Предпосылок формирования среди населения конфликтов на почве политической, социальной, расовой, национальной или религиозной ненависти или вражды не зафиксировано, наблюдается стабильность межнациональных и межрелигиозных отношений.</w:t>
      </w:r>
    </w:p>
    <w:p w:rsidR="00B52DE3" w:rsidRDefault="00DE73E3">
      <w:pPr>
        <w:pStyle w:val="1fe"/>
        <w:keepNext w:val="0"/>
        <w:keepLines w:val="0"/>
        <w:spacing w:line="240" w:lineRule="auto"/>
      </w:pPr>
      <w:bookmarkStart w:id="32" w:name="_Toc33"/>
      <w:r>
        <w:rPr>
          <w:rFonts w:eastAsia="Times New Roman"/>
        </w:rPr>
        <w:t>ОБЕСПЕЧЕНИЕ ПЕРВИЧНЫХ МЕР ПОЖАРНОЙ БЕЗОПАСНОСТИ В ГРАНИЦАХ ГОРОДСКОГО ОКРУГА</w:t>
      </w:r>
      <w:bookmarkEnd w:id="32"/>
    </w:p>
    <w:p w:rsidR="00B52DE3" w:rsidRDefault="00B52DE3">
      <w:pPr>
        <w:pStyle w:val="1fe"/>
        <w:keepNext w:val="0"/>
        <w:keepLines w:val="0"/>
        <w:spacing w:before="0"/>
      </w:pPr>
    </w:p>
    <w:p w:rsidR="00B52DE3" w:rsidRDefault="00DE73E3">
      <w:pPr>
        <w:tabs>
          <w:tab w:val="left" w:pos="2865"/>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Во исполнение Федерального закона от 12 декабря 1994 года № 69-ФЗ «О пожарной безопасности» Федерального закона от 21 декабря 1994 года            № 68-ФЗ «О защите населения и территорий от чрезвычайных ситуаций природного и техногенного характера» на территории сельских населенных пунктов проводится работа по поддержанию в состоянии готовности первичных средств пожаротушения и противопожарного инвентаря; системы оповещения. </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целях обеспечения пожарной безопасности в сельских населенных пунктах систематически осуществлялся контроль за жизнеобеспечением социально-значимых объектов сельских населенных пунктов, проводилась информационно-разъяснительная работа с руководителями организаций всех </w:t>
      </w:r>
      <w:r>
        <w:rPr>
          <w:rFonts w:ascii="Times New Roman" w:eastAsia="Times New Roman" w:hAnsi="Times New Roman" w:cs="Times New Roman"/>
          <w:sz w:val="28"/>
          <w:szCs w:val="28"/>
        </w:rPr>
        <w:lastRenderedPageBreak/>
        <w:t>форм собственности и жителями сельских населенных пунктов по соблюдению мер пожарной безопасности.</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рамках реализации муниципальной программы, утвержденной постановлением администрации Уссурийского городского округа от 14 декабря 2022 года № 3458-НПА «Об утверждении муниципальной программы «Обеспечение первичных мер пожарной безопасности в границах сельских населенных пунктов Уссурийского городского округа на 2023 - 2028 годы» и о признании утратившим силу постановления администрации Уссурийского городского округа от 20 августа 2015 года № 2228-НПА                     «Об утверждении муниципальной программы «Обеспечение первичных мер пожарной безопасности в границах сельских населенных пунктов Уссурийского городского округа на 2016 - 2024 годы», в 2025 году </w:t>
      </w:r>
      <w:r>
        <w:rPr>
          <w:rFonts w:ascii="Times New Roman" w:eastAsia="Times New Roman" w:hAnsi="Times New Roman" w:cs="Times New Roman"/>
          <w:color w:val="000000"/>
          <w:sz w:val="28"/>
          <w:szCs w:val="28"/>
        </w:rPr>
        <w:t>для обеспечения работоспособности первичных средств пожаротушения приобретено</w:t>
      </w:r>
      <w:r>
        <w:rPr>
          <w:rFonts w:ascii="Times New Roman" w:eastAsia="Times New Roman" w:hAnsi="Times New Roman" w:cs="Times New Roman"/>
          <w:iCs/>
          <w:sz w:val="28"/>
          <w:szCs w:val="28"/>
          <w:lang w:eastAsia="ru-RU"/>
        </w:rPr>
        <w:t xml:space="preserve"> 400 литров бензина на сумму 25,508 тыс. рублей.</w:t>
      </w:r>
      <w:r>
        <w:rPr>
          <w:rFonts w:ascii="Times New Roman" w:eastAsia="Times New Roman" w:hAnsi="Times New Roman" w:cs="Times New Roman"/>
          <w:color w:val="000000"/>
          <w:sz w:val="28"/>
          <w:szCs w:val="28"/>
        </w:rPr>
        <w:t xml:space="preserve">  Муниципальный контракт от 24 февраля 2025 № 1/2025</w:t>
      </w:r>
      <w:r>
        <w:rPr>
          <w:rFonts w:ascii="Times New Roman" w:eastAsia="Times New Roman" w:hAnsi="Times New Roman" w:cs="Times New Roman"/>
          <w:iCs/>
          <w:sz w:val="28"/>
          <w:szCs w:val="28"/>
          <w:lang w:eastAsia="ru-RU"/>
        </w:rPr>
        <w:t xml:space="preserve"> с</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8"/>
          <w:szCs w:val="28"/>
        </w:rPr>
        <w:t>ООО «УССУРНЕФТЕПРОДУКТ». Контракт исполнен 20 ноября 2025 года.</w:t>
      </w:r>
    </w:p>
    <w:p w:rsidR="00B52DE3" w:rsidRDefault="00DE73E3">
      <w:pPr>
        <w:spacing w:after="0" w:line="360" w:lineRule="auto"/>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color w:val="000000"/>
          <w:sz w:val="28"/>
          <w:szCs w:val="28"/>
        </w:rPr>
        <w:tab/>
        <w:t xml:space="preserve">Выполнены работы по содержанию территорий общего пользования, прилегающих к пожарным резервуарам, пирсам, информационным стендам (выкашивание зеленых зон) в сельских населенных пунктах Уссурийского городского округа Приморского края на сумму  156,00 тыс.рублей. Объем работ составил </w:t>
      </w:r>
      <w:r>
        <w:rPr>
          <w:rFonts w:ascii="Times New Roman" w:eastAsia="Times New Roman" w:hAnsi="Times New Roman" w:cs="Times New Roman"/>
          <w:sz w:val="28"/>
          <w:szCs w:val="28"/>
        </w:rPr>
        <w:t>25 875</w:t>
      </w:r>
      <w:r>
        <w:rPr>
          <w:rFonts w:ascii="Times New Roman" w:eastAsia="Times New Roman" w:hAnsi="Times New Roman" w:cs="Times New Roman"/>
          <w:color w:val="000000"/>
          <w:sz w:val="28"/>
          <w:szCs w:val="28"/>
          <w:lang w:eastAsia="ar-SA"/>
        </w:rPr>
        <w:t xml:space="preserve"> м</w:t>
      </w:r>
      <w:r>
        <w:rPr>
          <w:rFonts w:ascii="Times New Roman" w:eastAsia="Times New Roman" w:hAnsi="Times New Roman" w:cs="Times New Roman"/>
          <w:color w:val="000000"/>
          <w:sz w:val="28"/>
          <w:szCs w:val="28"/>
          <w:vertAlign w:val="superscript"/>
          <w:lang w:eastAsia="ar-SA"/>
        </w:rPr>
        <w:t>2</w:t>
      </w:r>
      <w:r>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rPr>
        <w:t>Муниципальный контракт от 20 июня 2025 года                № 7/2025 с Индивидуальным предпринимателем Овчаренко Александр Юрьевич.</w:t>
      </w:r>
      <w:r>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sz w:val="28"/>
          <w:szCs w:val="28"/>
        </w:rPr>
        <w:t>Контракт исполнен 18 ноября 2025 года</w:t>
      </w:r>
      <w:r>
        <w:rPr>
          <w:rFonts w:ascii="Times New Roman" w:eastAsia="Times New Roman" w:hAnsi="Times New Roman" w:cs="Times New Roman"/>
          <w:color w:val="000000"/>
          <w:sz w:val="28"/>
          <w:szCs w:val="28"/>
          <w:lang w:eastAsia="ar-SA"/>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Изготовлено 5 информационных полей с противопожарной информацией на сумму 28, 200 тыс. рублей. Договор от 12 августа 2025 года № 9/2025 с </w:t>
      </w:r>
      <w:r>
        <w:rPr>
          <w:rFonts w:ascii="Times New Roman" w:eastAsia="Times New Roman" w:hAnsi="Times New Roman" w:cs="Times New Roman"/>
          <w:color w:val="000000"/>
          <w:sz w:val="28"/>
          <w:szCs w:val="28"/>
        </w:rPr>
        <w:t xml:space="preserve">Индивидуальным предпринимателем </w:t>
      </w:r>
      <w:r>
        <w:rPr>
          <w:rFonts w:ascii="Times New Roman" w:eastAsia="Times New Roman" w:hAnsi="Times New Roman" w:cs="Times New Roman"/>
          <w:sz w:val="28"/>
          <w:szCs w:val="28"/>
        </w:rPr>
        <w:t>Яшина Валентина Владимировна.  Контракт исполнен  03 сентября 2025 года</w:t>
      </w:r>
      <w:r>
        <w:rPr>
          <w:rFonts w:ascii="Times New Roman" w:eastAsia="Times New Roman" w:hAnsi="Times New Roman" w:cs="Times New Roman"/>
          <w:color w:val="000000"/>
          <w:sz w:val="28"/>
          <w:szCs w:val="28"/>
          <w:lang w:eastAsia="ar-SA"/>
        </w:rPr>
        <w:t>.</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Выполнены работы </w:t>
      </w:r>
      <w:r>
        <w:rPr>
          <w:rFonts w:ascii="Times New Roman" w:eastAsia="Times New Roman" w:hAnsi="Times New Roman" w:cs="Times New Roman"/>
          <w:color w:val="000000"/>
          <w:sz w:val="28"/>
          <w:szCs w:val="28"/>
        </w:rPr>
        <w:t>по доставке и установке</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резервуара для хранения воды</w:t>
      </w:r>
      <w:r>
        <w:rPr>
          <w:rFonts w:ascii="Times New Roman" w:eastAsia="Times New Roman" w:hAnsi="Times New Roman" w:cs="Times New Roman"/>
          <w:sz w:val="28"/>
          <w:szCs w:val="28"/>
        </w:rPr>
        <w:t xml:space="preserve"> в с. Николо - Львовское </w:t>
      </w:r>
      <w:r>
        <w:rPr>
          <w:rFonts w:ascii="Times New Roman" w:eastAsia="Times New Roman" w:hAnsi="Times New Roman" w:cs="Times New Roman"/>
          <w:color w:val="000000"/>
          <w:sz w:val="28"/>
          <w:szCs w:val="28"/>
        </w:rPr>
        <w:t xml:space="preserve">Уссурийского городского округа Приморского </w:t>
      </w:r>
      <w:r>
        <w:rPr>
          <w:rFonts w:ascii="Times New Roman" w:eastAsia="Times New Roman" w:hAnsi="Times New Roman" w:cs="Times New Roman"/>
          <w:color w:val="000000"/>
          <w:sz w:val="28"/>
          <w:szCs w:val="28"/>
        </w:rPr>
        <w:lastRenderedPageBreak/>
        <w:t>края объемом 60 м</w:t>
      </w:r>
      <w:r>
        <w:rPr>
          <w:rFonts w:ascii="Times New Roman" w:eastAsia="Times New Roman" w:hAnsi="Times New Roman" w:cs="Times New Roman"/>
          <w:color w:val="000000"/>
          <w:sz w:val="28"/>
          <w:szCs w:val="28"/>
          <w:vertAlign w:val="superscript"/>
        </w:rPr>
        <w:t>3</w:t>
      </w:r>
      <w:r>
        <w:rPr>
          <w:rFonts w:ascii="Times New Roman" w:eastAsia="Times New Roman" w:hAnsi="Times New Roman" w:cs="Times New Roman"/>
          <w:color w:val="000000"/>
          <w:sz w:val="28"/>
          <w:szCs w:val="28"/>
        </w:rPr>
        <w:t>, на сумму 835,00 тыс.рублей.</w:t>
      </w:r>
      <w:r>
        <w:rPr>
          <w:rFonts w:ascii="Times New Roman" w:eastAsia="Times New Roman" w:hAnsi="Times New Roman" w:cs="Times New Roman"/>
          <w:sz w:val="28"/>
          <w:szCs w:val="28"/>
        </w:rPr>
        <w:t xml:space="preserve"> М</w:t>
      </w:r>
      <w:r>
        <w:rPr>
          <w:rFonts w:ascii="Times New Roman" w:eastAsia="Times New Roman" w:hAnsi="Times New Roman" w:cs="Times New Roman"/>
          <w:color w:val="000000"/>
          <w:sz w:val="28"/>
          <w:szCs w:val="28"/>
        </w:rPr>
        <w:t>униципальный контракт  от 04 сентября 2025 года № 11/2025 с  Индивидуальным предпринимателем</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Чернышов</w:t>
      </w:r>
      <w:proofErr w:type="spellEnd"/>
      <w:r>
        <w:rPr>
          <w:rFonts w:ascii="Times New Roman" w:eastAsia="Times New Roman" w:hAnsi="Times New Roman" w:cs="Times New Roman"/>
          <w:sz w:val="28"/>
          <w:szCs w:val="28"/>
        </w:rPr>
        <w:t xml:space="preserve"> Иван Александрович. Контракт исполнен  16 октября 2025 года</w:t>
      </w:r>
      <w:r>
        <w:rPr>
          <w:rFonts w:ascii="Times New Roman" w:eastAsia="Times New Roman" w:hAnsi="Times New Roman" w:cs="Times New Roman"/>
          <w:color w:val="000000"/>
          <w:sz w:val="28"/>
          <w:szCs w:val="28"/>
          <w:lang w:eastAsia="ar-SA"/>
        </w:rPr>
        <w:t>.</w:t>
      </w:r>
    </w:p>
    <w:p w:rsidR="00B52DE3" w:rsidRDefault="00DE73E3">
      <w:pPr>
        <w:spacing w:after="0" w:line="360" w:lineRule="auto"/>
        <w:ind w:firstLine="709"/>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sz w:val="28"/>
          <w:szCs w:val="28"/>
        </w:rPr>
        <w:t xml:space="preserve">Выполнены работы по обновлению противопожарных минерализованных полос в сельских населенных пунктах </w:t>
      </w:r>
      <w:r>
        <w:rPr>
          <w:rFonts w:ascii="Times New Roman" w:eastAsia="Times New Roman" w:hAnsi="Times New Roman" w:cs="Times New Roman"/>
          <w:color w:val="000000"/>
          <w:sz w:val="28"/>
          <w:szCs w:val="28"/>
        </w:rPr>
        <w:t>Уссурийского городского округа Приморского края общей протяженностью 36,4 км, на сумму 1725,00 тыс.рублей. Муниципальный контракт от 18 сентября 2025 года № 12/2025 с  Индивидуальным предпринимателем</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Хачатрян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Ваагн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Вилисонович</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Контракт исполнен 25 ноября 2025 года</w:t>
      </w:r>
      <w:r>
        <w:rPr>
          <w:rFonts w:ascii="Times New Roman" w:eastAsia="Times New Roman" w:hAnsi="Times New Roman" w:cs="Times New Roman"/>
          <w:color w:val="000000"/>
          <w:sz w:val="28"/>
          <w:szCs w:val="28"/>
          <w:lang w:eastAsia="ar-SA"/>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Для обеспечения пожарной безопасности в сельских населенных пунктах систематически осуществлялся контроль за жизнеобеспечением социально-значимых объектов сельских населенных пунктов, проводилась информационно-разъяснительная работа с руководителями организаций всех форм собственности и жителями сельских населенных пунктов по соблюдению мер пожарной безопасности, проводились рейды с целью осуществления контроля за соблюдением населением мер пожарной безопасности.</w:t>
      </w:r>
    </w:p>
    <w:p w:rsidR="00B52DE3" w:rsidRDefault="00DE73E3">
      <w:pPr>
        <w:tabs>
          <w:tab w:val="left" w:pos="9540"/>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целях достижения высокого уровня готовности и слаженности к оперативному реагированию на природные загорания и эффективным действиям по их тушению, а так же </w:t>
      </w:r>
      <w:r>
        <w:rPr>
          <w:rFonts w:ascii="Times New Roman" w:eastAsia="Times New Roman" w:hAnsi="Times New Roman" w:cs="Times New Roman"/>
          <w:bCs/>
          <w:sz w:val="28"/>
          <w:szCs w:val="28"/>
        </w:rPr>
        <w:t>получения необходимой информации по тушению лесных пожаров, а также в целях налаживания взаимодействия между группами тушения лесных пожаров и ЕДДС, Единая дежурная диспетчерская служба Уссурийского городского округа имеет постоянную связь с Уссурийским филиалом КГКУ «</w:t>
      </w:r>
      <w:proofErr w:type="spellStart"/>
      <w:r>
        <w:rPr>
          <w:rFonts w:ascii="Times New Roman" w:eastAsia="Times New Roman" w:hAnsi="Times New Roman" w:cs="Times New Roman"/>
          <w:bCs/>
          <w:sz w:val="28"/>
          <w:szCs w:val="28"/>
        </w:rPr>
        <w:t>Примлес</w:t>
      </w:r>
      <w:proofErr w:type="spellEnd"/>
      <w:r>
        <w:rPr>
          <w:rFonts w:ascii="Times New Roman" w:eastAsia="Times New Roman" w:hAnsi="Times New Roman" w:cs="Times New Roman"/>
          <w:bCs/>
          <w:sz w:val="28"/>
          <w:szCs w:val="28"/>
        </w:rPr>
        <w:t>», филиалом ФГКУ «</w:t>
      </w:r>
      <w:proofErr w:type="spellStart"/>
      <w:r>
        <w:rPr>
          <w:rFonts w:ascii="Times New Roman" w:eastAsia="Times New Roman" w:hAnsi="Times New Roman" w:cs="Times New Roman"/>
          <w:bCs/>
          <w:sz w:val="28"/>
          <w:szCs w:val="28"/>
        </w:rPr>
        <w:t>УЛХиП</w:t>
      </w:r>
      <w:proofErr w:type="spellEnd"/>
      <w:r>
        <w:rPr>
          <w:rFonts w:ascii="Times New Roman" w:eastAsia="Times New Roman" w:hAnsi="Times New Roman" w:cs="Times New Roman"/>
          <w:bCs/>
          <w:sz w:val="28"/>
          <w:szCs w:val="28"/>
        </w:rPr>
        <w:t xml:space="preserve">»МО России (военное лесничество), КГСБУ «Приморская база авиационной, наземной охраны и защиты лесов», командованием </w:t>
      </w:r>
      <w:proofErr w:type="spellStart"/>
      <w:r>
        <w:rPr>
          <w:rFonts w:ascii="Times New Roman" w:eastAsia="Times New Roman" w:hAnsi="Times New Roman" w:cs="Times New Roman"/>
          <w:bCs/>
          <w:sz w:val="28"/>
          <w:szCs w:val="28"/>
        </w:rPr>
        <w:t>Прокопьевским</w:t>
      </w:r>
      <w:proofErr w:type="spellEnd"/>
      <w:r>
        <w:rPr>
          <w:rFonts w:ascii="Times New Roman" w:eastAsia="Times New Roman" w:hAnsi="Times New Roman" w:cs="Times New Roman"/>
          <w:bCs/>
          <w:sz w:val="28"/>
          <w:szCs w:val="28"/>
        </w:rPr>
        <w:t xml:space="preserve"> авиационным полигоном с. </w:t>
      </w:r>
      <w:proofErr w:type="spellStart"/>
      <w:r>
        <w:rPr>
          <w:rFonts w:ascii="Times New Roman" w:eastAsia="Times New Roman" w:hAnsi="Times New Roman" w:cs="Times New Roman"/>
          <w:bCs/>
          <w:sz w:val="28"/>
          <w:szCs w:val="28"/>
        </w:rPr>
        <w:t>Монакино</w:t>
      </w:r>
      <w:proofErr w:type="spellEnd"/>
      <w:r>
        <w:rPr>
          <w:rFonts w:ascii="Times New Roman" w:eastAsia="Times New Roman" w:hAnsi="Times New Roman" w:cs="Times New Roman"/>
          <w:bCs/>
          <w:sz w:val="28"/>
          <w:szCs w:val="28"/>
        </w:rPr>
        <w:t xml:space="preserve">. </w:t>
      </w:r>
    </w:p>
    <w:p w:rsidR="00B52DE3" w:rsidRDefault="00DE73E3">
      <w:pPr>
        <w:tabs>
          <w:tab w:val="left" w:pos="9540"/>
        </w:tabs>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Единая дежурная диспетчерская служба Уссурийского городского округа во взаимодействии с региональной диспетчерской службой </w:t>
      </w:r>
      <w:r>
        <w:rPr>
          <w:rFonts w:ascii="Times New Roman" w:eastAsia="Times New Roman" w:hAnsi="Times New Roman" w:cs="Times New Roman"/>
          <w:bCs/>
          <w:sz w:val="28"/>
          <w:szCs w:val="28"/>
        </w:rPr>
        <w:lastRenderedPageBreak/>
        <w:t>Приморского края, метеорологическими станциями ФГБУ «</w:t>
      </w:r>
      <w:proofErr w:type="spellStart"/>
      <w:r>
        <w:rPr>
          <w:rFonts w:ascii="Times New Roman" w:eastAsia="Times New Roman" w:hAnsi="Times New Roman" w:cs="Times New Roman"/>
          <w:bCs/>
          <w:sz w:val="28"/>
          <w:szCs w:val="28"/>
        </w:rPr>
        <w:t>Примгидромет</w:t>
      </w:r>
      <w:proofErr w:type="spellEnd"/>
      <w:r>
        <w:rPr>
          <w:rFonts w:ascii="Times New Roman" w:eastAsia="Times New Roman" w:hAnsi="Times New Roman" w:cs="Times New Roman"/>
          <w:bCs/>
          <w:sz w:val="28"/>
          <w:szCs w:val="28"/>
        </w:rPr>
        <w:t>», единым диспетчерским пунктом управления КГСБУ «Приморская база авиационной, наземной охраны и защиты лесов», ФГУ «ЦУКС ГУ МЧС России по Приморскому краю в пожароопасные периоды осуществляется локальный мониторинг пожароопасной обстановки в круглосуточном режиме.</w:t>
      </w:r>
    </w:p>
    <w:p w:rsidR="00B52DE3" w:rsidRDefault="00DE73E3">
      <w:pPr>
        <w:widowControl w:val="0"/>
        <w:spacing w:after="0" w:line="360" w:lineRule="auto"/>
        <w:ind w:firstLine="708"/>
        <w:contextualSpacing/>
        <w:jc w:val="both"/>
        <w:rPr>
          <w:rFonts w:ascii="Times New Roman" w:hAnsi="Times New Roman" w:cs="Times New Roman"/>
        </w:rPr>
      </w:pPr>
      <w:r>
        <w:rPr>
          <w:rFonts w:ascii="Times New Roman" w:eastAsia="Times New Roman" w:hAnsi="Times New Roman" w:cs="Times New Roman"/>
          <w:sz w:val="28"/>
          <w:szCs w:val="28"/>
        </w:rPr>
        <w:t xml:space="preserve">В соответствии с положениями Федерального закона от 06 мая                    2011 года 100-Ф3 «О добровольной пожарной охране» создано общественное объединение добровольной пожарной охраны «Добровольная пожарная дружина сельских населенных пунктов Уссурийского городского округа», в состав которого входят 78 добровольных пожарных из числа местных жителей, которые прошли обучение по программе первоначальной подготовки личного состава добровольной пожарной охраны и внесены в сводный реестр добровольных пожарных. </w:t>
      </w:r>
    </w:p>
    <w:p w:rsidR="00B52DE3" w:rsidRDefault="00DE73E3">
      <w:pPr>
        <w:widowControl w:val="0"/>
        <w:spacing w:after="0" w:line="360" w:lineRule="auto"/>
        <w:ind w:firstLine="708"/>
        <w:contextualSpacing/>
        <w:jc w:val="both"/>
        <w:rPr>
          <w:rFonts w:ascii="Times New Roman" w:hAnsi="Times New Roman" w:cs="Times New Roman"/>
        </w:rPr>
      </w:pPr>
      <w:r>
        <w:rPr>
          <w:rFonts w:ascii="Times New Roman" w:eastAsia="Times New Roman" w:hAnsi="Times New Roman" w:cs="Times New Roman"/>
          <w:color w:val="000000"/>
          <w:sz w:val="28"/>
          <w:szCs w:val="28"/>
        </w:rPr>
        <w:t xml:space="preserve">Для обеспечения необходимого уровня пожарной безопасности </w:t>
      </w:r>
      <w:r>
        <w:rPr>
          <w:rFonts w:ascii="Times New Roman" w:eastAsia="Times New Roman" w:hAnsi="Times New Roman" w:cs="Times New Roman"/>
          <w:sz w:val="28"/>
          <w:szCs w:val="28"/>
        </w:rPr>
        <w:t>д</w:t>
      </w:r>
      <w:r>
        <w:rPr>
          <w:rFonts w:ascii="Times New Roman" w:eastAsia="Times New Roman" w:hAnsi="Times New Roman" w:cs="Times New Roman"/>
          <w:color w:val="000000"/>
          <w:sz w:val="28"/>
          <w:szCs w:val="28"/>
        </w:rPr>
        <w:t>обровольные пожарные привлекаются к участию в профилактике и  тушении пожаров на территориях сельских населенных пунктов</w:t>
      </w:r>
      <w:r>
        <w:rPr>
          <w:rFonts w:ascii="Times New Roman" w:eastAsia="Times New Roman" w:hAnsi="Times New Roman" w:cs="Times New Roman"/>
          <w:sz w:val="28"/>
          <w:szCs w:val="28"/>
        </w:rPr>
        <w:t xml:space="preserve"> Уссурийского городского округа Приморского края</w:t>
      </w:r>
      <w:r>
        <w:rPr>
          <w:rFonts w:ascii="Times New Roman" w:eastAsia="Times New Roman" w:hAnsi="Times New Roman" w:cs="Times New Roman"/>
          <w:color w:val="000000"/>
          <w:sz w:val="28"/>
          <w:szCs w:val="28"/>
        </w:rPr>
        <w:t xml:space="preserve">. Добровольные пожарные </w:t>
      </w:r>
      <w:r>
        <w:rPr>
          <w:rFonts w:ascii="Times New Roman" w:eastAsia="Times New Roman" w:hAnsi="Times New Roman" w:cs="Times New Roman"/>
          <w:sz w:val="28"/>
          <w:szCs w:val="28"/>
        </w:rPr>
        <w:t xml:space="preserve">оснащены первичными средствами пожаротушения в том числе: воздуходувы ранцевые - 48 шт., переносные </w:t>
      </w:r>
      <w:proofErr w:type="spellStart"/>
      <w:r>
        <w:rPr>
          <w:rFonts w:ascii="Times New Roman" w:eastAsia="Times New Roman" w:hAnsi="Times New Roman" w:cs="Times New Roman"/>
          <w:sz w:val="28"/>
          <w:szCs w:val="28"/>
        </w:rPr>
        <w:t>мотопомпы</w:t>
      </w:r>
      <w:proofErr w:type="spellEnd"/>
      <w:r>
        <w:rPr>
          <w:rFonts w:ascii="Times New Roman" w:eastAsia="Times New Roman" w:hAnsi="Times New Roman" w:cs="Times New Roman"/>
          <w:sz w:val="28"/>
          <w:szCs w:val="28"/>
        </w:rPr>
        <w:t xml:space="preserve"> - 40 шт., ранцы противопожарные - 47шт., </w:t>
      </w:r>
      <w:proofErr w:type="spellStart"/>
      <w:r>
        <w:rPr>
          <w:rFonts w:ascii="Times New Roman" w:eastAsia="Times New Roman" w:hAnsi="Times New Roman" w:cs="Times New Roman"/>
          <w:sz w:val="28"/>
          <w:szCs w:val="28"/>
        </w:rPr>
        <w:t>квадрокоптеры</w:t>
      </w:r>
      <w:proofErr w:type="spellEnd"/>
      <w:r>
        <w:rPr>
          <w:rFonts w:ascii="Times New Roman" w:eastAsia="Times New Roman" w:hAnsi="Times New Roman" w:cs="Times New Roman"/>
          <w:sz w:val="28"/>
          <w:szCs w:val="28"/>
        </w:rPr>
        <w:t xml:space="preserve"> - 9 шт., шанцевый инвентарь, средства связи (сотовые телефоны), запас ГСМ.</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Наиболее удаленные сёла: </w:t>
      </w:r>
      <w:proofErr w:type="spellStart"/>
      <w:r>
        <w:rPr>
          <w:rFonts w:ascii="Times New Roman" w:eastAsia="Times New Roman" w:hAnsi="Times New Roman" w:cs="Times New Roman"/>
          <w:sz w:val="28"/>
          <w:szCs w:val="28"/>
        </w:rPr>
        <w:t>Николо-Львовское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Пуциловка</w:t>
      </w:r>
      <w:proofErr w:type="spellEnd"/>
      <w:r>
        <w:rPr>
          <w:rFonts w:ascii="Times New Roman" w:eastAsia="Times New Roman" w:hAnsi="Times New Roman" w:cs="Times New Roman"/>
          <w:sz w:val="28"/>
          <w:szCs w:val="28"/>
        </w:rPr>
        <w:t>, Дубовый ключ обеспечены автомобилями для подвоза воды на базе Зил-131 (АРС-40).</w:t>
      </w:r>
    </w:p>
    <w:p w:rsidR="00B52DE3" w:rsidRDefault="00DE73E3">
      <w:pPr>
        <w:tabs>
          <w:tab w:val="left" w:pos="795"/>
          <w:tab w:val="left" w:pos="898"/>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Все населенные пункты обеспечены устойчивой телефонной связью.</w:t>
      </w:r>
    </w:p>
    <w:p w:rsidR="00B52DE3" w:rsidRDefault="00DE73E3">
      <w:pPr>
        <w:tabs>
          <w:tab w:val="left" w:pos="795"/>
          <w:tab w:val="left" w:pos="898"/>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Проводятся информационные кампании, направленные на необходимость соблюдения правил пожарной безопасности осуществляется подворный обход в селах, ведутся журналы инструктажей, разработаны памятки, которые распространяются среди населения.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 xml:space="preserve">На въездах населенных пунктах установлены 60 информационных щитов о пожарной безопасности.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В период с 01 по 05 апреля и с 01 сентября по 15 октября 2025 года  совместно с 7 ОФПС проведена проверка источников наружного противопожарного водоснабжения на сельских территориях Уссурийского городского округа в рамках мероприятия по контролю за состоянием систем наружного противопожарного водоснабжения Уссурийского городского округа и их готовности в эксплуатации в весенне-летний и </w:t>
      </w:r>
      <w:proofErr w:type="spellStart"/>
      <w:r>
        <w:rPr>
          <w:rFonts w:ascii="Times New Roman" w:eastAsia="Times New Roman" w:hAnsi="Times New Roman" w:cs="Times New Roman"/>
          <w:sz w:val="28"/>
          <w:szCs w:val="28"/>
        </w:rPr>
        <w:t>осенне</w:t>
      </w:r>
      <w:proofErr w:type="spellEnd"/>
      <w:r>
        <w:rPr>
          <w:rFonts w:ascii="Times New Roman" w:eastAsia="Times New Roman" w:hAnsi="Times New Roman" w:cs="Times New Roman"/>
          <w:sz w:val="28"/>
          <w:szCs w:val="28"/>
        </w:rPr>
        <w:t xml:space="preserve"> - зимний период, о чем составлены соответствующие акты.</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целях предупреждения чрезвычайных ситуаций в местах отдыха населения на водных объектах Уссурийского городского округа в период купального сезона 2025 года, сотрудниками отделов по работе с территориями проводилась информационно-разъяснительная работа с населением о запрете купания в несанкционированных местах и соблюдении мер безопасности на водных объектах. Вблизи водоемов в местах возможного несанкционированного купания населения устанавливались временные запрещающие знаки.</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период зимнего сезона 2025-2026 годов сотрудниками отделов по работе с территориями, проводится информационно-разъяснительная работа с населением о запрете выхода на лед водоемов и соблюдении мер безопасности на водных объектах в зимний период, в целях предупреждения чрезвычайных ситуаций в местах отдыха населения на водных объектах Уссурийского городского округа Приморского края.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Ежедневно передается информация в МКУ УГО «Управление по делам ГО ЧС» об оперативной обстановке, состоянии пожарной безопасности в населенных пунктах подведомственной территории.</w:t>
      </w:r>
    </w:p>
    <w:p w:rsidR="00B52DE3" w:rsidRDefault="00DE73E3">
      <w:pPr>
        <w:pStyle w:val="1fe"/>
        <w:keepNext w:val="0"/>
        <w:keepLines w:val="0"/>
        <w:spacing w:line="240" w:lineRule="auto"/>
      </w:pPr>
      <w:bookmarkStart w:id="33" w:name="_Toc34"/>
      <w:r>
        <w:rPr>
          <w:rFonts w:eastAsia="Times New Roman"/>
        </w:rPr>
        <w:t>ОРГАНИЗАЦИЯ МЕРОПРИЯТИЙ ПО ОХРАНЕ ОКРУЖАЮЩЕЙ СРЕДЫ В ГРАНИЦАХ ГОРОДСКОГО ОКРУГА</w:t>
      </w:r>
      <w:bookmarkEnd w:id="33"/>
    </w:p>
    <w:p w:rsidR="00B52DE3" w:rsidRDefault="00B52DE3">
      <w:pPr>
        <w:pStyle w:val="1fe"/>
        <w:keepNext w:val="0"/>
        <w:keepLines w:val="0"/>
        <w:spacing w:before="0"/>
        <w:rPr>
          <w:color w:val="auto"/>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В рамках реализации муниципальной программы «Охрана окружающей среды Уссурийского городского округа» на 2023-2028 годы выполнены следующие мероприятия: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заключены договоры на выполнение работ: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 расчистке ливневых стоков, находящихся в оперативном управлении МКУ «Служба </w:t>
      </w:r>
      <w:proofErr w:type="spellStart"/>
      <w:r>
        <w:rPr>
          <w:rFonts w:ascii="Times New Roman" w:eastAsia="Times New Roman" w:hAnsi="Times New Roman" w:cs="Times New Roman"/>
          <w:sz w:val="28"/>
          <w:szCs w:val="28"/>
        </w:rPr>
        <w:t>единого-заказчика</w:t>
      </w:r>
      <w:proofErr w:type="spellEnd"/>
      <w:r>
        <w:rPr>
          <w:rFonts w:ascii="Times New Roman" w:eastAsia="Times New Roman" w:hAnsi="Times New Roman" w:cs="Times New Roman"/>
          <w:sz w:val="28"/>
          <w:szCs w:val="28"/>
        </w:rPr>
        <w:t xml:space="preserve"> застройщика» Уссурийского городского округа Приморского округа;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 текущему содержанию гидротехнических сооружение трех гидротехнических сооружений находящихся в оперативном управлении МКУ «Служба </w:t>
      </w:r>
      <w:proofErr w:type="spellStart"/>
      <w:r>
        <w:rPr>
          <w:rFonts w:ascii="Times New Roman" w:eastAsia="Times New Roman" w:hAnsi="Times New Roman" w:cs="Times New Roman"/>
          <w:sz w:val="28"/>
          <w:szCs w:val="28"/>
        </w:rPr>
        <w:t>единого-заказчика</w:t>
      </w:r>
      <w:proofErr w:type="spellEnd"/>
      <w:r>
        <w:rPr>
          <w:rFonts w:ascii="Times New Roman" w:eastAsia="Times New Roman" w:hAnsi="Times New Roman" w:cs="Times New Roman"/>
          <w:sz w:val="28"/>
          <w:szCs w:val="28"/>
        </w:rPr>
        <w:t xml:space="preserve"> застройщика» Уссурийского городского округа Приморского округа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 страхованию гражданской ответственности на 3 гидротехнических сооружениях, находящихся в оперативном управлении МКУ «Служба </w:t>
      </w:r>
      <w:proofErr w:type="spellStart"/>
      <w:r>
        <w:rPr>
          <w:rFonts w:ascii="Times New Roman" w:eastAsia="Times New Roman" w:hAnsi="Times New Roman" w:cs="Times New Roman"/>
          <w:sz w:val="28"/>
          <w:szCs w:val="28"/>
        </w:rPr>
        <w:t>единого-заказчика</w:t>
      </w:r>
      <w:proofErr w:type="spellEnd"/>
      <w:r>
        <w:rPr>
          <w:rFonts w:ascii="Times New Roman" w:eastAsia="Times New Roman" w:hAnsi="Times New Roman" w:cs="Times New Roman"/>
          <w:sz w:val="28"/>
          <w:szCs w:val="28"/>
        </w:rPr>
        <w:t xml:space="preserve"> застройщика» Уссурийского городского округа Приморского округа;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заключено соглашение с муниципальным унитарным предприятием «Уссурийск-Водоканал» на предоставление субсидий на возмещение затрат по содержанию гидротехнических сооружений, расположенных на территории Уссурийского городского округа. Исполнение соглашения на 11%.</w:t>
      </w:r>
    </w:p>
    <w:p w:rsidR="00B52DE3" w:rsidRDefault="00DE73E3">
      <w:pPr>
        <w:pStyle w:val="1fe"/>
        <w:keepNext w:val="0"/>
        <w:keepLines w:val="0"/>
        <w:spacing w:line="240" w:lineRule="auto"/>
      </w:pPr>
      <w:bookmarkStart w:id="34" w:name="_Toc35"/>
      <w:r>
        <w:rPr>
          <w:rFonts w:eastAsia="Times New Roman"/>
          <w:lang w:eastAsia="ru-RU"/>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w:t>
      </w:r>
      <w:r>
        <w:rPr>
          <w:rFonts w:eastAsia="Times New Roman"/>
          <w:lang w:eastAsia="ru-RU"/>
        </w:rPr>
        <w:lastRenderedPageBreak/>
        <w:t>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bookmarkEnd w:id="34"/>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территории Уссурийского городского округа действуют 70 образовательных учреждения, из них:</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36 учреждений дошкольного образования; </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30 общеобразовательных учреждения;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4 учреждения дополнительного образования. </w:t>
      </w:r>
    </w:p>
    <w:p w:rsidR="00B52DE3" w:rsidRDefault="00DE73E3">
      <w:pPr>
        <w:widowControl w:val="0"/>
        <w:spacing w:after="0" w:line="360" w:lineRule="auto"/>
        <w:ind w:firstLine="709"/>
        <w:jc w:val="center"/>
        <w:rPr>
          <w:rFonts w:ascii="Times New Roman" w:hAnsi="Times New Roman" w:cs="Times New Roman"/>
        </w:rPr>
      </w:pPr>
      <w:r>
        <w:rPr>
          <w:rFonts w:ascii="Times New Roman" w:eastAsia="Times New Roman" w:hAnsi="Times New Roman" w:cs="Times New Roman"/>
          <w:b/>
          <w:bCs/>
          <w:sz w:val="28"/>
          <w:szCs w:val="28"/>
        </w:rPr>
        <w:t>Охват детей образованием соответствующего уровня</w:t>
      </w:r>
    </w:p>
    <w:tbl>
      <w:tblPr>
        <w:tblW w:w="9594" w:type="dxa"/>
        <w:tblInd w:w="-223" w:type="dxa"/>
        <w:tblLayout w:type="fixed"/>
        <w:tblLook w:val="04A0"/>
      </w:tblPr>
      <w:tblGrid>
        <w:gridCol w:w="497"/>
        <w:gridCol w:w="1840"/>
        <w:gridCol w:w="1831"/>
        <w:gridCol w:w="1858"/>
        <w:gridCol w:w="1774"/>
        <w:gridCol w:w="1794"/>
      </w:tblGrid>
      <w:tr w:rsidR="00B52DE3">
        <w:tc>
          <w:tcPr>
            <w:tcW w:w="49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пп</w:t>
            </w:r>
            <w:proofErr w:type="spellEnd"/>
          </w:p>
        </w:tc>
        <w:tc>
          <w:tcPr>
            <w:tcW w:w="1840" w:type="dxa"/>
            <w:tcBorders>
              <w:top w:val="single" w:sz="4" w:space="0" w:color="000000"/>
              <w:left w:val="single" w:sz="4" w:space="0" w:color="000000"/>
              <w:bottom w:val="single" w:sz="4" w:space="0" w:color="000000"/>
              <w:right w:val="single" w:sz="4" w:space="0" w:color="000000"/>
            </w:tcBorders>
          </w:tcPr>
          <w:p w:rsidR="00B52DE3" w:rsidRDefault="00B52DE3">
            <w:pPr>
              <w:widowControl w:val="0"/>
              <w:spacing w:after="0" w:line="240" w:lineRule="auto"/>
              <w:ind w:firstLine="709"/>
              <w:jc w:val="both"/>
              <w:rPr>
                <w:rFonts w:ascii="Times New Roman" w:hAnsi="Times New Roman" w:cs="Times New Roman"/>
                <w:sz w:val="28"/>
                <w:szCs w:val="28"/>
              </w:rPr>
            </w:pPr>
          </w:p>
        </w:tc>
        <w:tc>
          <w:tcPr>
            <w:tcW w:w="1831"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2021 – 2022</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учебный год (чел.)</w:t>
            </w:r>
          </w:p>
        </w:tc>
        <w:tc>
          <w:tcPr>
            <w:tcW w:w="1858"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2022 –  2023</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учебный год (чел.)</w:t>
            </w:r>
          </w:p>
        </w:tc>
        <w:tc>
          <w:tcPr>
            <w:tcW w:w="17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2023  – 2024</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учебный год (чел.)</w:t>
            </w:r>
          </w:p>
        </w:tc>
        <w:tc>
          <w:tcPr>
            <w:tcW w:w="179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2024  – 2025</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учебный год (чел.)</w:t>
            </w:r>
          </w:p>
        </w:tc>
      </w:tr>
      <w:tr w:rsidR="00B52DE3">
        <w:trPr>
          <w:trHeight w:val="433"/>
        </w:trPr>
        <w:tc>
          <w:tcPr>
            <w:tcW w:w="49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1.</w:t>
            </w:r>
          </w:p>
        </w:tc>
        <w:tc>
          <w:tcPr>
            <w:tcW w:w="184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дневные школы</w:t>
            </w:r>
          </w:p>
        </w:tc>
        <w:tc>
          <w:tcPr>
            <w:tcW w:w="1831"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22164</w:t>
            </w:r>
          </w:p>
        </w:tc>
        <w:tc>
          <w:tcPr>
            <w:tcW w:w="1858"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22760</w:t>
            </w:r>
          </w:p>
        </w:tc>
        <w:tc>
          <w:tcPr>
            <w:tcW w:w="17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23432</w:t>
            </w:r>
          </w:p>
        </w:tc>
        <w:tc>
          <w:tcPr>
            <w:tcW w:w="1794"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23655</w:t>
            </w:r>
          </w:p>
        </w:tc>
      </w:tr>
      <w:tr w:rsidR="00B52DE3">
        <w:tc>
          <w:tcPr>
            <w:tcW w:w="49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2.</w:t>
            </w:r>
          </w:p>
        </w:tc>
        <w:tc>
          <w:tcPr>
            <w:tcW w:w="184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вечерние школы</w:t>
            </w:r>
          </w:p>
        </w:tc>
        <w:tc>
          <w:tcPr>
            <w:tcW w:w="1831"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217</w:t>
            </w:r>
          </w:p>
        </w:tc>
        <w:tc>
          <w:tcPr>
            <w:tcW w:w="1858"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214</w:t>
            </w:r>
          </w:p>
        </w:tc>
        <w:tc>
          <w:tcPr>
            <w:tcW w:w="17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204</w:t>
            </w:r>
          </w:p>
        </w:tc>
        <w:tc>
          <w:tcPr>
            <w:tcW w:w="1794"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202</w:t>
            </w:r>
          </w:p>
        </w:tc>
      </w:tr>
      <w:tr w:rsidR="00B52DE3">
        <w:tc>
          <w:tcPr>
            <w:tcW w:w="49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3.</w:t>
            </w:r>
          </w:p>
        </w:tc>
        <w:tc>
          <w:tcPr>
            <w:tcW w:w="184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дошкольные учреждения</w:t>
            </w:r>
          </w:p>
        </w:tc>
        <w:tc>
          <w:tcPr>
            <w:tcW w:w="1831"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9282</w:t>
            </w:r>
          </w:p>
        </w:tc>
        <w:tc>
          <w:tcPr>
            <w:tcW w:w="1858"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9461</w:t>
            </w:r>
          </w:p>
        </w:tc>
        <w:tc>
          <w:tcPr>
            <w:tcW w:w="17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9201</w:t>
            </w:r>
          </w:p>
        </w:tc>
        <w:tc>
          <w:tcPr>
            <w:tcW w:w="1794"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9237</w:t>
            </w:r>
          </w:p>
        </w:tc>
      </w:tr>
      <w:tr w:rsidR="00B52DE3">
        <w:tc>
          <w:tcPr>
            <w:tcW w:w="49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4.</w:t>
            </w:r>
          </w:p>
        </w:tc>
        <w:tc>
          <w:tcPr>
            <w:tcW w:w="184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 xml:space="preserve">учреждения </w:t>
            </w:r>
            <w:proofErr w:type="spellStart"/>
            <w:r>
              <w:rPr>
                <w:rFonts w:ascii="Times New Roman" w:eastAsia="Times New Roman" w:hAnsi="Times New Roman" w:cs="Times New Roman"/>
                <w:sz w:val="28"/>
                <w:szCs w:val="28"/>
                <w:lang w:eastAsia="ru-RU"/>
              </w:rPr>
              <w:t>дополни-тельного</w:t>
            </w:r>
            <w:proofErr w:type="spellEnd"/>
            <w:r>
              <w:rPr>
                <w:rFonts w:ascii="Times New Roman" w:eastAsia="Times New Roman" w:hAnsi="Times New Roman" w:cs="Times New Roman"/>
                <w:sz w:val="28"/>
                <w:szCs w:val="28"/>
                <w:lang w:eastAsia="ru-RU"/>
              </w:rPr>
              <w:t xml:space="preserve"> образования</w:t>
            </w:r>
          </w:p>
        </w:tc>
        <w:tc>
          <w:tcPr>
            <w:tcW w:w="1831"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9198</w:t>
            </w:r>
          </w:p>
        </w:tc>
        <w:tc>
          <w:tcPr>
            <w:tcW w:w="1858"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10154</w:t>
            </w:r>
          </w:p>
        </w:tc>
        <w:tc>
          <w:tcPr>
            <w:tcW w:w="1774"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9771</w:t>
            </w:r>
          </w:p>
        </w:tc>
        <w:tc>
          <w:tcPr>
            <w:tcW w:w="1794" w:type="dxa"/>
            <w:tcBorders>
              <w:top w:val="single" w:sz="4" w:space="0" w:color="000000"/>
              <w:left w:val="single" w:sz="4" w:space="0" w:color="000000"/>
              <w:bottom w:val="single" w:sz="4" w:space="0" w:color="000000"/>
              <w:right w:val="single" w:sz="4"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9310</w:t>
            </w:r>
          </w:p>
        </w:tc>
      </w:tr>
    </w:tbl>
    <w:p w:rsidR="00B52DE3" w:rsidRDefault="00B52DE3">
      <w:pPr>
        <w:widowControl w:val="0"/>
        <w:spacing w:after="0" w:line="360" w:lineRule="auto"/>
        <w:ind w:left="-567" w:firstLine="567"/>
        <w:jc w:val="both"/>
        <w:rPr>
          <w:rFonts w:ascii="Times New Roman" w:hAnsi="Times New Roman" w:cs="Times New Roman"/>
          <w:sz w:val="28"/>
          <w:szCs w:val="28"/>
        </w:rPr>
      </w:pPr>
    </w:p>
    <w:p w:rsidR="00B52DE3" w:rsidRDefault="0094277C">
      <w:pPr>
        <w:pStyle w:val="2f6"/>
        <w:keepNext w:val="0"/>
        <w:spacing w:before="0" w:line="240" w:lineRule="auto"/>
        <w:ind w:left="0"/>
      </w:pPr>
      <w:bookmarkStart w:id="35" w:name="_Toc36"/>
      <w:r>
        <w:pict>
          <v:shape id="_x0000_s1041" type="#_x0000_t75" style="position:absolute;left:0;text-align:left;margin-left:0;margin-top:0;width:50pt;height:50pt;z-index:251653632;visibility:hidden" filled="t" stroked="t">
            <v:stroke joinstyle="round"/>
            <v:path o:extrusionok="t" gradientshapeok="f" o:connecttype="segments"/>
            <o:lock v:ext="edit" aspectratio="f" selection="t"/>
          </v:shape>
        </w:pict>
      </w:r>
      <w:r>
        <w:pict>
          <v:shape id="_x0000_s1040" type="#_x0000_t75" style="position:absolute;left:0;text-align:left;margin-left:486.25pt;margin-top:57.6pt;width:13.35pt;height:4pt;z-index:251661824">
            <v:imagedata r:id="rId10" o:title=""/>
            <v:path textboxrect="0,0,0,0"/>
            <w10:wrap type="square"/>
          </v:shape>
        </w:pict>
      </w:r>
      <w:r w:rsidR="00DE73E3">
        <w:t xml:space="preserve">Государственная (итоговая) аттестация на территории </w:t>
      </w:r>
      <w:bookmarkEnd w:id="35"/>
      <w:r>
        <w:pict>
          <v:shape id="_x0000_s1039" type="#_x0000_t75" style="position:absolute;left:0;text-align:left;margin-left:0;margin-top:0;width:50pt;height:50pt;z-index:251654656;visibility:hidden;mso-position-horizontal-relative:text;mso-position-vertical-relative:text" filled="t" stroked="t">
            <v:stroke joinstyle="round"/>
            <v:path o:extrusionok="t" gradientshapeok="f" o:connecttype="segments"/>
            <o:lock v:ext="edit" aspectratio="f" selection="t"/>
          </v:shape>
        </w:pict>
      </w:r>
      <w:r>
        <w:pict>
          <v:shape id="_x0000_s1038" type="#_x0000_t75" style="position:absolute;left:0;text-align:left;margin-left:50.15pt;margin-top:168.3pt;width:1.15pt;height:1.15pt;z-index:251662848;mso-position-horizontal-relative:page;mso-position-vertical-relative:page">
            <v:imagedata r:id="rId11" o:title=""/>
            <v:path textboxrect="0,0,0,0"/>
            <w10:wrap type="square" anchorx="page" anchory="page"/>
          </v:shape>
        </w:pict>
      </w:r>
      <w:r>
        <w:pict>
          <v:shape id="_x0000_s1037" type="#_x0000_t75" style="position:absolute;left:0;text-align:left;margin-left:0;margin-top:0;width:50pt;height:50pt;z-index:251655680;visibility:hidden;mso-position-horizontal-relative:text;mso-position-vertical-relative:text" filled="t" stroked="t">
            <v:stroke joinstyle="round"/>
            <v:path o:extrusionok="t" gradientshapeok="f" o:connecttype="segments"/>
            <o:lock v:ext="edit" aspectratio="f" selection="t"/>
          </v:shape>
        </w:pict>
      </w:r>
      <w:r>
        <w:pict>
          <v:shape id="_x0000_s1036" type="#_x0000_t75" style="position:absolute;left:0;text-align:left;margin-left:51.85pt;margin-top:169.5pt;width:1.15pt;height:1.15pt;z-index:251663872;mso-position-horizontal-relative:page;mso-position-vertical-relative:page">
            <v:imagedata r:id="rId11" o:title=""/>
            <v:path textboxrect="0,0,0,0"/>
            <w10:wrap type="square" anchorx="page" anchory="page"/>
          </v:shape>
        </w:pict>
      </w:r>
      <w:r>
        <w:pict>
          <v:shape id="_x0000_s1035"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pict>
          <v:shape id="_x0000_s1034" type="#_x0000_t75" style="position:absolute;left:0;text-align:left;margin-left:576.25pt;margin-top:453.5pt;width:1.15pt;height:1.15pt;z-index:251664896;mso-position-horizontal-relative:page;mso-position-vertical-relative:page">
            <v:imagedata r:id="rId12" o:title=""/>
            <v:path textboxrect="0,0,0,0"/>
            <w10:wrap type="square" anchorx="page" anchory="page"/>
          </v:shape>
        </w:pict>
      </w:r>
      <w:r>
        <w:pict>
          <v:shape id="_x0000_s1033"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pict>
          <v:shape id="_x0000_s1032" type="#_x0000_t75" style="position:absolute;left:0;text-align:left;margin-left:575.5pt;margin-top:453.95pt;width:1.15pt;height:1.15pt;z-index:251665920;mso-position-horizontal-relative:page;mso-position-vertical-relative:page">
            <v:imagedata r:id="rId12" o:title=""/>
            <v:path textboxrect="0,0,0,0"/>
            <w10:wrap type="square" anchorx="page" anchory="page"/>
          </v:shape>
        </w:pict>
      </w:r>
      <w:r w:rsidR="00DE73E3">
        <w:t>Уссурийского городского округа</w:t>
      </w:r>
    </w:p>
    <w:p w:rsidR="00B52DE3" w:rsidRDefault="00B52DE3">
      <w:pPr>
        <w:pStyle w:val="2f6"/>
        <w:keepNext w:val="0"/>
        <w:spacing w:before="0" w:line="240" w:lineRule="auto"/>
        <w:ind w:left="0"/>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В 2024 - 2025 учебном году государственная итоговая аттестация по образовательным программам среднего общего образования учащихся муниципальных образовательных организаций Уссурийского городского </w:t>
      </w:r>
      <w:r>
        <w:rPr>
          <w:rFonts w:ascii="Times New Roman" w:eastAsia="Times New Roman" w:hAnsi="Times New Roman" w:cs="Times New Roman"/>
          <w:bCs/>
          <w:sz w:val="28"/>
          <w:szCs w:val="28"/>
        </w:rPr>
        <w:lastRenderedPageBreak/>
        <w:t xml:space="preserve">округа проведена в соответствии с Федеральным законом от 29 декабря                   2012 года № 273-ФЗ «Об образовании в Российской Федерации», приказом </w:t>
      </w:r>
      <w:proofErr w:type="spellStart"/>
      <w:r>
        <w:rPr>
          <w:rFonts w:ascii="Times New Roman" w:eastAsia="Times New Roman" w:hAnsi="Times New Roman" w:cs="Times New Roman"/>
          <w:bCs/>
          <w:sz w:val="28"/>
          <w:szCs w:val="28"/>
        </w:rPr>
        <w:t>Минпросвещения</w:t>
      </w:r>
      <w:proofErr w:type="spellEnd"/>
      <w:r>
        <w:rPr>
          <w:rFonts w:ascii="Times New Roman" w:eastAsia="Times New Roman" w:hAnsi="Times New Roman" w:cs="Times New Roman"/>
          <w:bCs/>
          <w:sz w:val="28"/>
          <w:szCs w:val="28"/>
        </w:rPr>
        <w:t xml:space="preserve"> России, </w:t>
      </w:r>
      <w:proofErr w:type="spellStart"/>
      <w:r>
        <w:rPr>
          <w:rFonts w:ascii="Times New Roman" w:eastAsia="Times New Roman" w:hAnsi="Times New Roman" w:cs="Times New Roman"/>
          <w:bCs/>
          <w:sz w:val="28"/>
          <w:szCs w:val="28"/>
        </w:rPr>
        <w:t>Рособрнадзора</w:t>
      </w:r>
      <w:proofErr w:type="spellEnd"/>
      <w:r>
        <w:rPr>
          <w:rFonts w:ascii="Times New Roman" w:eastAsia="Times New Roman" w:hAnsi="Times New Roman" w:cs="Times New Roman"/>
          <w:bCs/>
          <w:sz w:val="28"/>
          <w:szCs w:val="28"/>
        </w:rPr>
        <w:t xml:space="preserve"> № 233/552 от 04 апреля 2023 года «Об утверждении Порядка проведения государственной итоговой аттестации по образовательным программам среднего общего образования», приказами </w:t>
      </w:r>
      <w:proofErr w:type="spellStart"/>
      <w:r>
        <w:rPr>
          <w:rFonts w:ascii="Times New Roman" w:eastAsia="Times New Roman" w:hAnsi="Times New Roman" w:cs="Times New Roman"/>
          <w:bCs/>
          <w:sz w:val="28"/>
          <w:szCs w:val="28"/>
        </w:rPr>
        <w:t>Минпросвещения</w:t>
      </w:r>
      <w:proofErr w:type="spellEnd"/>
      <w:r>
        <w:rPr>
          <w:rFonts w:ascii="Times New Roman" w:eastAsia="Times New Roman" w:hAnsi="Times New Roman" w:cs="Times New Roman"/>
          <w:bCs/>
          <w:sz w:val="28"/>
          <w:szCs w:val="28"/>
        </w:rPr>
        <w:t xml:space="preserve"> России и </w:t>
      </w:r>
      <w:proofErr w:type="spellStart"/>
      <w:r>
        <w:rPr>
          <w:rFonts w:ascii="Times New Roman" w:eastAsia="Times New Roman" w:hAnsi="Times New Roman" w:cs="Times New Roman"/>
          <w:bCs/>
          <w:sz w:val="28"/>
          <w:szCs w:val="28"/>
        </w:rPr>
        <w:t>Рособрнадзора</w:t>
      </w:r>
      <w:proofErr w:type="spellEnd"/>
      <w:r>
        <w:rPr>
          <w:rFonts w:ascii="Times New Roman" w:eastAsia="Times New Roman" w:hAnsi="Times New Roman" w:cs="Times New Roman"/>
          <w:bCs/>
          <w:sz w:val="28"/>
          <w:szCs w:val="28"/>
        </w:rPr>
        <w:t xml:space="preserve"> от 11 ноября 2024 года                              № 787/2089, 788/2090 и 789/2091, соответственно, утверждены расписания и продолжительность проведения единого государственного экзамена (ЕГЭ), основного государственного экзамена (ОГЭ) и государственного выпускного экзамена (ГВЭ) по каждому учебному предмету, перечень средств обучения и воспитания, которые можно использовать при выполнении экзаменационных заданий.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Для организации и проведения государственной итоговой аттестации выпускников в 2025 году в Уссурийском городском округе Приморского края функционировали 5 пунктов проведения экзамена (ППЭ) на базе муниципальных образовательных организаций: МБОУ СОШ № 14, МБОУ СОШ № 16, МБОУ СОШ № 22, МБОУ СОШ № 30, МБОУ СОШ № 32. В каждом ППЭ велась трансляция в </w:t>
      </w:r>
      <w:proofErr w:type="spellStart"/>
      <w:r>
        <w:rPr>
          <w:rFonts w:ascii="Times New Roman" w:eastAsia="Times New Roman" w:hAnsi="Times New Roman" w:cs="Times New Roman"/>
          <w:bCs/>
          <w:sz w:val="28"/>
          <w:szCs w:val="28"/>
        </w:rPr>
        <w:t>онлайн</w:t>
      </w:r>
      <w:proofErr w:type="spellEnd"/>
      <w:r>
        <w:rPr>
          <w:rFonts w:ascii="Times New Roman" w:eastAsia="Times New Roman" w:hAnsi="Times New Roman" w:cs="Times New Roman"/>
          <w:bCs/>
          <w:sz w:val="28"/>
          <w:szCs w:val="28"/>
        </w:rPr>
        <w:t xml:space="preserve"> - режиме.</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С целью реализации прав детей с ограниченными возможностями здоровья, детей - инвалидов и инвалидов в пункте проведения экзаменов на базе образовательной организации МБОУ СОШ № 16 была выделена аудитория со специализированной рассадкой.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В пунктах были установлены блокираторы подвижной связи, был подготовлен резервный источник электроснабжения.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В пунктах проведения экзаменов было задействовано: 83 аудитории, 416 работников образовательных организаций, из них: 5 руководителей ППЭ, 20 членов ГЭК, 20 технических специалистов, 5 медицинских работников, 302 организатора, привлечено 54 аккредитованных общественных наблюдателей. Все педагоги прошли обучение на платформе ФЦТ и в  </w:t>
      </w:r>
      <w:r>
        <w:rPr>
          <w:rFonts w:ascii="Times New Roman" w:eastAsia="Times New Roman" w:hAnsi="Times New Roman" w:cs="Times New Roman"/>
          <w:bCs/>
          <w:sz w:val="28"/>
          <w:szCs w:val="28"/>
        </w:rPr>
        <w:lastRenderedPageBreak/>
        <w:t xml:space="preserve">региональном центре обработки информации.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ГИА-11 в формате ЕГЭ проходило для выпускников 11-х классов (сроки проведения с 23 мая по 11 июня, резервные дни с 16 июня по 23 июня и дополнительные дни пересдачи 3, 4 июля, в дополнительный осенний период с 04 сентября по 23 сентября). Для получения аттестата учащимся достаточно получить удовлетворительный результат на экзамене по русскому языку и математике (базовый или профильный уровни).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В 2024-2025 учебном году произведена регистрация на ГИА-11:                  1132 человека (с учетом выпускников муниципальных образовательных организаций, Уссурийского суворовского училища, лицей № 20 ОАО РЖД, ЧОО «Перфект гимназия», лиц, находящихся в местах лишения свободы, выпускников прошлых лет) (АППГ – 1103), из них 962 обучающихся муниципальных образовательных организаций Уссурийского городского округа (АППГ - 897 учащихся), что составило 100 % от контингента обучающихся 11-х классов на конец учебного года. Из них в форме единого государственного экзамена сдавало 925 человек (96,15 %), 37 обучающихся  (3,84 %) проходили государственную итоговую аттестацию в форме государственного выпускного экзамена (учащиеся МБОУ СОШ № 14, МБОУ СОШ № 16, МБОУ О(С)ОШ № 2).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В ЕГЭ 2025 года также принимали участие выпускники прошлых лет, СПО, УСВУ, перфект - гимназии, интернат № 29 ОАО РЖД. Сведения внесены в РИС ГИА-11, произведено распределение по ППЭ, сформированы и утверждены списки работников, задействованных в проведении ЕГЭ.</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26 февраля 2025 года прошла Всероссийская акция «Единый день сдачи ЕГЭ родителями» на базе ППЭ, организованном в МБОУ СОШ № 16.</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В 2025 учебном году ГИА-9 прошли 2265 учащихся (с учетом выпускников муниципальных образовательных организаций, Уссурийского суворовского училища, лицей № 20 ОАО РЖД, ЧОО «Перфект гимназия» и лиц, находящихся в местах лишения свободы) (АППГ – 2176). Согласно </w:t>
      </w:r>
      <w:r>
        <w:rPr>
          <w:rFonts w:ascii="Times New Roman" w:eastAsia="Times New Roman" w:hAnsi="Times New Roman" w:cs="Times New Roman"/>
          <w:bCs/>
          <w:sz w:val="28"/>
          <w:szCs w:val="28"/>
        </w:rPr>
        <w:lastRenderedPageBreak/>
        <w:t>расписанию ГИА-9 основной период прошел с 21 мая по 16 июня, резервные сроки с 26 июня по 02 июля, дополнительный период с 02 сентября                           по 16  сентября 2025 года.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Для прохождения ГИА по образовательным программам основного общего образования в форме ОГЭ и ГВЭ на территории Уссурийского городского округа было организовано 17 ППЭ на базе: МБОУ СОШ № 4, МБОУ СОШ № 14, МБОУ СОШ № 16, МБОУ СОШ № 22, МАОУ СОШ № 25, МБОУ СОШ № 28, МБОУ СОШ № 30, МБОУ СОШ № 32, МБОУ СОШ № 130, МБОУ СОШ № 133, МБОУ О(С)ОШ № 2, УСВУ, СИЗО № 3, ЛИУ № 23, Краевого государственного общеобразовательного бюджетного учреждения «Приморское специальное </w:t>
      </w:r>
      <w:proofErr w:type="spellStart"/>
      <w:r>
        <w:rPr>
          <w:rFonts w:ascii="Times New Roman" w:eastAsia="Times New Roman" w:hAnsi="Times New Roman" w:cs="Times New Roman"/>
          <w:bCs/>
          <w:sz w:val="28"/>
          <w:szCs w:val="28"/>
        </w:rPr>
        <w:t>учебно</w:t>
      </w:r>
      <w:proofErr w:type="spellEnd"/>
      <w:r>
        <w:rPr>
          <w:rFonts w:ascii="Times New Roman" w:eastAsia="Times New Roman" w:hAnsi="Times New Roman" w:cs="Times New Roman"/>
          <w:bCs/>
          <w:sz w:val="28"/>
          <w:szCs w:val="28"/>
        </w:rPr>
        <w:t xml:space="preserve"> - воспитательное учреждение имени Т. М. Тихого», для четверых учащихся  пункты проведения экзаменов были организованы на дому.</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Медицинское обслуживание участников ГИА – 9 во всех ППЭ осуществляли медицинские работники КГБУЗ «Уссурийская центральная городская больница» структурного подразделения «Детская больница».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В 2025 году распределение выпускников в аудитории ППЭ и организаторов по ППЭ на все экзамены было автоматизировано специальным программным обеспечением в РЦОИ. Печать материалов производилась непосредственно в день экзамена в аудитории проведения. Для этого ППЭ необходимо было за два рабочих дня до назначенного экзамена провести техническую подготовку, и за один рабочий день до назначенного экзамена - контроль технической готовности.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После проведения экзамена экзаменационные материалы по всем учебным предметам сканировались и отправлялись в Региональный центр обработки информации. Проверку работ осуществляли эксперты региональной предметной комиссии.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Контроль за соблюдением Порядка проведения ГИА - 9 осуществляли 66 аккредитованных общественных наблюдателей. Замечаний со стороны </w:t>
      </w:r>
      <w:r>
        <w:rPr>
          <w:rFonts w:ascii="Times New Roman" w:eastAsia="Times New Roman" w:hAnsi="Times New Roman" w:cs="Times New Roman"/>
          <w:bCs/>
          <w:sz w:val="28"/>
          <w:szCs w:val="28"/>
        </w:rPr>
        <w:lastRenderedPageBreak/>
        <w:t>общественных наблюдателей не зафиксировано.</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Внесены данные об участниках 2265  чел. (АППГ – 2176) и работниках ГИА-9 575 человек в региональную информационную систему. Определен состав экспертов в количестве 45 человек. Все педагоги прошли обучение на портале региональный центр обработки информации.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Итоговое собеседование по русскому языку в 9 классах проведено во всех образовательных организациях 12 февраля 2025, 12 марта 2025 года.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Наиболее востребованными предметами для сдачи ЕГЭ в основной период стали: русский язык (1055 участника), математика базового уровня (586 участников), обществознание (539 участников), математика профильный уровень (463 участников), биология (209 участников). Наименьшее количество зарегистрированных участников на предметы: китайский язык                       (7 участников), география (34 участников), литература (60 участников).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По полученным результатам ГИА-11 на территории Уссурийского городского округа имеется 4 участников, получивших максимальный балл - 100 баллов: 2 по русскому языку, 1 по химии,  1 по литературе.</w:t>
      </w:r>
      <w:r>
        <w:rPr>
          <w:rFonts w:ascii="Times New Roman" w:eastAsia="Times New Roman" w:hAnsi="Times New Roman" w:cs="Times New Roman"/>
          <w:sz w:val="28"/>
          <w:szCs w:val="28"/>
        </w:rPr>
        <w:t xml:space="preserve"> </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pStyle w:val="2f6"/>
        <w:keepNext w:val="0"/>
        <w:spacing w:before="0"/>
        <w:ind w:left="0"/>
      </w:pPr>
      <w:bookmarkStart w:id="36" w:name="_Toc37"/>
      <w:proofErr w:type="spellStart"/>
      <w:r>
        <w:t>Внеучебные</w:t>
      </w:r>
      <w:proofErr w:type="spellEnd"/>
      <w:r>
        <w:t xml:space="preserve"> достижения</w:t>
      </w:r>
      <w:bookmarkEnd w:id="36"/>
    </w:p>
    <w:p w:rsidR="00B52DE3" w:rsidRDefault="00B52DE3">
      <w:pPr>
        <w:pStyle w:val="2f6"/>
        <w:keepNext w:val="0"/>
        <w:spacing w:before="0"/>
      </w:pPr>
    </w:p>
    <w:p w:rsidR="00B52DE3" w:rsidRDefault="00DE73E3">
      <w:pPr>
        <w:widowControl w:val="0"/>
        <w:spacing w:after="0" w:line="360" w:lineRule="auto"/>
        <w:ind w:firstLine="709"/>
        <w:jc w:val="both"/>
        <w:rPr>
          <w:rFonts w:ascii="Times New Roman" w:hAnsi="Times New Roman" w:cs="Times New Roman"/>
        </w:rPr>
      </w:pPr>
      <w:r>
        <w:rPr>
          <w:rStyle w:val="FontStyle11"/>
          <w:rFonts w:eastAsia="Times New Roman"/>
          <w:color w:val="000000"/>
          <w:sz w:val="28"/>
          <w:szCs w:val="28"/>
        </w:rPr>
        <w:t>В муниципальной системе образования Уссурийского городского округа созданы условия для выявления, поддержки и развития способностей и талантов у детей и молодежи, их профессионального самоопределения.</w:t>
      </w:r>
    </w:p>
    <w:p w:rsidR="00B52DE3" w:rsidRDefault="00DE73E3">
      <w:pPr>
        <w:widowControl w:val="0"/>
        <w:spacing w:after="0" w:line="360" w:lineRule="auto"/>
        <w:ind w:firstLine="709"/>
        <w:jc w:val="both"/>
        <w:rPr>
          <w:rFonts w:ascii="Times New Roman" w:hAnsi="Times New Roman" w:cs="Times New Roman"/>
        </w:rPr>
      </w:pPr>
      <w:r>
        <w:rPr>
          <w:rStyle w:val="FontStyle11"/>
          <w:rFonts w:eastAsia="Times New Roman"/>
          <w:color w:val="000000"/>
          <w:sz w:val="28"/>
          <w:szCs w:val="28"/>
        </w:rPr>
        <w:t>Начиная с 2021-2022 учебного года вступило в силу постановление администрации Уссурийского городского округа № 1821-НПА от 05 августа 2021 года «Об утверждении Порядка поощрения одаренных детей, обучающихся и воспитанников образовательных организаций Уссурийского городского округа, педагогических работников образовательных организаций Уссурийского городского округа, сопровождающих одаренных детей».</w:t>
      </w:r>
    </w:p>
    <w:p w:rsidR="00B52DE3" w:rsidRDefault="00DE73E3">
      <w:pPr>
        <w:widowControl w:val="0"/>
        <w:spacing w:after="0" w:line="360" w:lineRule="auto"/>
        <w:ind w:firstLine="709"/>
        <w:jc w:val="both"/>
        <w:rPr>
          <w:rFonts w:ascii="Times New Roman" w:hAnsi="Times New Roman" w:cs="Times New Roman"/>
        </w:rPr>
      </w:pPr>
      <w:r>
        <w:rPr>
          <w:rStyle w:val="FontStyle11"/>
          <w:rFonts w:eastAsia="Times New Roman"/>
          <w:color w:val="000000"/>
          <w:sz w:val="28"/>
          <w:szCs w:val="28"/>
        </w:rPr>
        <w:t xml:space="preserve">По итогам 2025 года лауреатами Премии главы стали </w:t>
      </w:r>
      <w:r>
        <w:rPr>
          <w:rStyle w:val="FontStyle11"/>
          <w:rFonts w:eastAsia="Times New Roman"/>
          <w:color w:val="000000"/>
          <w:sz w:val="28"/>
          <w:szCs w:val="28"/>
          <w:highlight w:val="white"/>
        </w:rPr>
        <w:t xml:space="preserve">322 </w:t>
      </w:r>
      <w:r>
        <w:rPr>
          <w:rStyle w:val="FontStyle11"/>
          <w:rFonts w:eastAsia="Times New Roman"/>
          <w:color w:val="000000"/>
          <w:sz w:val="28"/>
          <w:szCs w:val="28"/>
        </w:rPr>
        <w:t xml:space="preserve">одаренных </w:t>
      </w:r>
      <w:r>
        <w:rPr>
          <w:rStyle w:val="FontStyle11"/>
          <w:rFonts w:eastAsia="Times New Roman"/>
          <w:color w:val="000000"/>
          <w:sz w:val="28"/>
          <w:szCs w:val="28"/>
        </w:rPr>
        <w:lastRenderedPageBreak/>
        <w:t xml:space="preserve">ребенка и </w:t>
      </w:r>
      <w:r>
        <w:rPr>
          <w:rStyle w:val="FontStyle11"/>
          <w:rFonts w:eastAsia="Times New Roman"/>
          <w:color w:val="000000"/>
          <w:sz w:val="28"/>
          <w:szCs w:val="28"/>
          <w:highlight w:val="white"/>
        </w:rPr>
        <w:t>11</w:t>
      </w:r>
      <w:r>
        <w:rPr>
          <w:rStyle w:val="FontStyle11"/>
          <w:rFonts w:eastAsia="Times New Roman"/>
          <w:color w:val="000000"/>
          <w:sz w:val="28"/>
          <w:szCs w:val="28"/>
        </w:rPr>
        <w:t xml:space="preserve"> педагогических работников.</w:t>
      </w:r>
    </w:p>
    <w:p w:rsidR="00B52DE3" w:rsidRDefault="00DE73E3">
      <w:pPr>
        <w:widowControl w:val="0"/>
        <w:spacing w:after="0" w:line="360" w:lineRule="auto"/>
        <w:ind w:firstLine="709"/>
        <w:jc w:val="both"/>
        <w:rPr>
          <w:rFonts w:ascii="Times New Roman" w:hAnsi="Times New Roman" w:cs="Times New Roman"/>
        </w:rPr>
      </w:pPr>
      <w:r>
        <w:rPr>
          <w:rStyle w:val="FontStyle11"/>
          <w:rFonts w:eastAsia="Times New Roman"/>
          <w:color w:val="000000"/>
          <w:sz w:val="28"/>
          <w:szCs w:val="28"/>
        </w:rPr>
        <w:t xml:space="preserve">Ежегодно увеличивается количество участников Всероссийской олимпиады школьников (далее – </w:t>
      </w:r>
      <w:proofErr w:type="spellStart"/>
      <w:r>
        <w:rPr>
          <w:rStyle w:val="FontStyle11"/>
          <w:rFonts w:eastAsia="Times New Roman"/>
          <w:color w:val="000000"/>
          <w:sz w:val="28"/>
          <w:szCs w:val="28"/>
        </w:rPr>
        <w:t>ВсОШ</w:t>
      </w:r>
      <w:proofErr w:type="spellEnd"/>
      <w:r>
        <w:rPr>
          <w:rStyle w:val="FontStyle11"/>
          <w:rFonts w:eastAsia="Times New Roman"/>
          <w:color w:val="000000"/>
          <w:sz w:val="28"/>
          <w:szCs w:val="28"/>
        </w:rPr>
        <w:t>), которая предусматривает четыре этапа – школьный, муниципальный, региональный, заключительный, и проводится с сентября по май по 20 учебным предметам: «Литература», «Математика», «Право», «Физика», «Экономика», «Русский язык», «Биология», «Экология», «Английский язык», «Информатика», «География», «Химия», «Обществознание», «Основы безопасности и защиты Родины», «История», «Китайский язык», «Труд (технология)», «Астрономия», «Искусство (МХК), «Физическая культура».</w:t>
      </w:r>
    </w:p>
    <w:p w:rsidR="00B52DE3" w:rsidRDefault="00DE73E3">
      <w:pPr>
        <w:widowControl w:val="0"/>
        <w:spacing w:after="0" w:line="360" w:lineRule="auto"/>
        <w:ind w:firstLine="709"/>
        <w:jc w:val="both"/>
        <w:rPr>
          <w:rFonts w:ascii="Times New Roman" w:hAnsi="Times New Roman" w:cs="Times New Roman"/>
        </w:rPr>
      </w:pPr>
      <w:r>
        <w:rPr>
          <w:rStyle w:val="FontStyle11"/>
          <w:rFonts w:eastAsia="Times New Roman"/>
          <w:color w:val="000000"/>
          <w:sz w:val="28"/>
          <w:szCs w:val="28"/>
        </w:rPr>
        <w:t xml:space="preserve">По итогам 2025 года участниками школьного этапа </w:t>
      </w:r>
      <w:proofErr w:type="spellStart"/>
      <w:r>
        <w:rPr>
          <w:rStyle w:val="FontStyle11"/>
          <w:rFonts w:eastAsia="Times New Roman"/>
          <w:color w:val="000000"/>
          <w:sz w:val="28"/>
          <w:szCs w:val="28"/>
        </w:rPr>
        <w:t>ВсОШ</w:t>
      </w:r>
      <w:proofErr w:type="spellEnd"/>
      <w:r>
        <w:rPr>
          <w:rStyle w:val="FontStyle11"/>
          <w:rFonts w:eastAsia="Times New Roman"/>
          <w:color w:val="000000"/>
          <w:sz w:val="28"/>
          <w:szCs w:val="28"/>
        </w:rPr>
        <w:t xml:space="preserve"> стали 100 % обучающихся. Победителями школьного этапа признано 1 400 участников (3,1% от общего числа); призерами – 5 865 участников (12,9%).</w:t>
      </w:r>
    </w:p>
    <w:p w:rsidR="00B52DE3" w:rsidRDefault="00DE73E3">
      <w:pPr>
        <w:widowControl w:val="0"/>
        <w:spacing w:after="0" w:line="360" w:lineRule="auto"/>
        <w:ind w:firstLine="709"/>
        <w:jc w:val="both"/>
        <w:rPr>
          <w:rFonts w:ascii="Times New Roman" w:hAnsi="Times New Roman" w:cs="Times New Roman"/>
        </w:rPr>
      </w:pPr>
      <w:r>
        <w:rPr>
          <w:rStyle w:val="FontStyle11"/>
          <w:rFonts w:eastAsia="Times New Roman"/>
          <w:color w:val="000000"/>
          <w:sz w:val="28"/>
          <w:szCs w:val="28"/>
        </w:rPr>
        <w:t xml:space="preserve">В муниципальном этапе </w:t>
      </w:r>
      <w:proofErr w:type="spellStart"/>
      <w:r>
        <w:rPr>
          <w:rStyle w:val="FontStyle11"/>
          <w:rFonts w:eastAsia="Times New Roman"/>
          <w:color w:val="000000"/>
          <w:sz w:val="28"/>
          <w:szCs w:val="28"/>
        </w:rPr>
        <w:t>ВсОШ</w:t>
      </w:r>
      <w:proofErr w:type="spellEnd"/>
      <w:r>
        <w:rPr>
          <w:rStyle w:val="FontStyle11"/>
          <w:rFonts w:eastAsia="Times New Roman"/>
          <w:color w:val="000000"/>
          <w:sz w:val="28"/>
          <w:szCs w:val="28"/>
        </w:rPr>
        <w:t xml:space="preserve"> приняли участие 999 обучающихся. Победителями муниципального этапа стали 39 (3,90%) обучающихся, призерами – 166 (16,62%) обучающихся.</w:t>
      </w:r>
    </w:p>
    <w:p w:rsidR="00B52DE3" w:rsidRDefault="00DE73E3">
      <w:pPr>
        <w:widowControl w:val="0"/>
        <w:spacing w:after="0" w:line="360" w:lineRule="auto"/>
        <w:ind w:firstLine="709"/>
        <w:jc w:val="both"/>
        <w:rPr>
          <w:rFonts w:ascii="Times New Roman" w:hAnsi="Times New Roman" w:cs="Times New Roman"/>
        </w:rPr>
      </w:pPr>
      <w:r>
        <w:rPr>
          <w:rStyle w:val="FontStyle11"/>
          <w:rFonts w:eastAsia="Times New Roman"/>
          <w:color w:val="000000"/>
          <w:sz w:val="28"/>
          <w:szCs w:val="28"/>
        </w:rPr>
        <w:t xml:space="preserve">Региональный этап </w:t>
      </w:r>
      <w:proofErr w:type="spellStart"/>
      <w:r>
        <w:rPr>
          <w:rStyle w:val="FontStyle11"/>
          <w:rFonts w:eastAsia="Times New Roman"/>
          <w:color w:val="000000"/>
          <w:sz w:val="28"/>
          <w:szCs w:val="28"/>
        </w:rPr>
        <w:t>ВсОШ</w:t>
      </w:r>
      <w:proofErr w:type="spellEnd"/>
      <w:r>
        <w:rPr>
          <w:rStyle w:val="FontStyle11"/>
          <w:rFonts w:eastAsia="Times New Roman"/>
          <w:color w:val="000000"/>
          <w:sz w:val="28"/>
          <w:szCs w:val="28"/>
        </w:rPr>
        <w:t xml:space="preserve"> начался 12 января 2026 года и завершится          28 февраля 2026 года. Третий этап олимпиады проходит на базах Регионального центра выявления, поддержки и развития способностей и талантов у детей и молодежи «</w:t>
      </w:r>
      <w:proofErr w:type="spellStart"/>
      <w:r>
        <w:rPr>
          <w:rStyle w:val="FontStyle11"/>
          <w:rFonts w:eastAsia="Times New Roman"/>
          <w:color w:val="000000"/>
          <w:sz w:val="28"/>
          <w:szCs w:val="28"/>
        </w:rPr>
        <w:t>Сириус.Приморье</w:t>
      </w:r>
      <w:proofErr w:type="spellEnd"/>
      <w:r>
        <w:rPr>
          <w:rStyle w:val="FontStyle11"/>
          <w:rFonts w:eastAsia="Times New Roman"/>
          <w:color w:val="000000"/>
          <w:sz w:val="28"/>
          <w:szCs w:val="28"/>
        </w:rPr>
        <w:t xml:space="preserve">» и МБОУ СОШ № 16 г. Уссурийска. Количество участников, прошедших на региональный этап </w:t>
      </w:r>
      <w:proofErr w:type="spellStart"/>
      <w:r>
        <w:rPr>
          <w:rStyle w:val="FontStyle11"/>
          <w:rFonts w:eastAsia="Times New Roman"/>
          <w:color w:val="000000"/>
          <w:sz w:val="28"/>
          <w:szCs w:val="28"/>
        </w:rPr>
        <w:t>ВсОШ</w:t>
      </w:r>
      <w:proofErr w:type="spellEnd"/>
      <w:r>
        <w:rPr>
          <w:rStyle w:val="FontStyle11"/>
          <w:rFonts w:eastAsia="Times New Roman"/>
          <w:color w:val="000000"/>
          <w:sz w:val="28"/>
          <w:szCs w:val="28"/>
        </w:rPr>
        <w:t>, составило 67 человек. По данным на 12.02.2026 года победителем регионального этапа признан 1 участник, призерами – 4 участника.</w:t>
      </w:r>
    </w:p>
    <w:p w:rsidR="00B52DE3" w:rsidRDefault="00DE73E3">
      <w:pPr>
        <w:pStyle w:val="2f6"/>
        <w:keepNext w:val="0"/>
        <w:ind w:left="0"/>
      </w:pPr>
      <w:bookmarkStart w:id="37" w:name="_Toc38"/>
      <w:r>
        <w:t>Дошкольное образование</w:t>
      </w:r>
      <w:bookmarkEnd w:id="37"/>
    </w:p>
    <w:p w:rsidR="00B52DE3" w:rsidRDefault="00B52DE3">
      <w:pPr>
        <w:pStyle w:val="2f6"/>
        <w:keepNext w:val="0"/>
        <w:spacing w:before="0"/>
        <w:ind w:left="0"/>
      </w:pP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В муниципальных дошкольных образовательных учреждениях, оказывающих услугу дошкольного образования, функционируют 52 группы для детей раннего возраста (АППГ – 43), которые посещают 1397 (АППГ – </w:t>
      </w:r>
      <w:r>
        <w:rPr>
          <w:rFonts w:ascii="Times New Roman" w:eastAsia="Times New Roman" w:hAnsi="Times New Roman" w:cs="Times New Roman"/>
          <w:sz w:val="28"/>
          <w:szCs w:val="28"/>
        </w:rPr>
        <w:lastRenderedPageBreak/>
        <w:t xml:space="preserve">1015) детей в возрасте до трех лет (информация на 10 декабря 2025 года). В целях увеличения охвата детей дошкольным образованием получили развитие новые формы работы, в том числе группы кратковременного пребывания для детей раннего возраста. В дошкольных образовательных учреждениях Уссурийского городского округа, согласно Федерального государственного образовательного стандарта создаются условия для раннего развития детей, в том числе, построение развивающей среды для детей до трех лет. Ведется работа с родителями, на базе всех дошкольных образовательных учреждений работают консультативные центры по оказанию психолого-педагогической, методической и консультативной  помощи родителям детей, получающих дошкольное образование в семье (всего 44 центра). За </w:t>
      </w:r>
      <w:r>
        <w:rPr>
          <w:rFonts w:ascii="Times New Roman" w:eastAsia="Times New Roman" w:hAnsi="Times New Roman" w:cs="Times New Roman"/>
          <w:sz w:val="28"/>
          <w:szCs w:val="28"/>
          <w:lang w:val="en-US"/>
        </w:rPr>
        <w:t>II</w:t>
      </w:r>
      <w:r>
        <w:rPr>
          <w:rFonts w:ascii="Times New Roman" w:eastAsia="Times New Roman" w:hAnsi="Times New Roman" w:cs="Times New Roman"/>
          <w:sz w:val="28"/>
          <w:szCs w:val="28"/>
        </w:rPr>
        <w:t xml:space="preserve"> полугодие 2025 года 236 граждан получили консультативную помощь по раннему развитию детей.</w:t>
      </w:r>
    </w:p>
    <w:p w:rsidR="00B52DE3" w:rsidRDefault="00DE73E3">
      <w:pPr>
        <w:tabs>
          <w:tab w:val="left" w:pos="709"/>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2025 году в Уссурийском городском округе осуществляют  деятельность 36 муниципальных дошкольных образовательных учреждений и 8 дошкольных отделений на базе общеобразовательных организаций. </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Численность детей, состоящих на учете в АИС Е-Услуги для определения в детский сад Уссурийского городского округа по состоянию на 10 декабря 2025 года составляет 1909 детей  (АППГ - 2452), из них детей от 1,5 до 3 лет - 638 (АППГ – 1073).</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Всего по состоянию на 10 декабря 2025 года охвачено услугами дошкольного образования, включая присмотр и уход за детьми,                            9237  человек (АППГ- 9038).</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На территории Уссурийского городского округа в рамках национального проекта «Семья», включающего в себя проект «Содействие занятости женщин» осуществляются мероприятия по созданию дополнительных мест для детей в возрасте  от 1,5 до 3 лет, в частности  развивается государственно-частное партнерство в сфере дошкольного образования, действует программа предоставления субсидии частным </w:t>
      </w:r>
      <w:r>
        <w:rPr>
          <w:rFonts w:ascii="Times New Roman" w:eastAsia="Times New Roman" w:hAnsi="Times New Roman" w:cs="Times New Roman"/>
          <w:sz w:val="28"/>
          <w:szCs w:val="28"/>
        </w:rPr>
        <w:lastRenderedPageBreak/>
        <w:t xml:space="preserve">образовательным организациям и индивидуальным предпринимателям, оказывающим услуги по уходу и присмотру за детьми в возрасте от 1,5                  до 3 лет, осуществляющим образовательную деятельность по образовательным программам дошкольного образования и присмотр и уход за детьми, направленные на возмещение затрат, возникающих при создании условий для осуществления присмотра и ухода за детьми. В 2025 году заключено соглашение с семью частными дошкольными образовательными организациями, оказывающими услуги по уходу и присмотру за детьми в возрасте от 1,5 до 3 лет: Частный детский сад «Шкода»; ЧОУ «Школа раннего развития «Счастливые дети»; детские ясли «Непоседы» ИП Петренко; ДОУ «Батискаф» ИП </w:t>
      </w:r>
      <w:proofErr w:type="spellStart"/>
      <w:r>
        <w:rPr>
          <w:rFonts w:ascii="Times New Roman" w:eastAsia="Times New Roman" w:hAnsi="Times New Roman" w:cs="Times New Roman"/>
          <w:sz w:val="28"/>
          <w:szCs w:val="28"/>
        </w:rPr>
        <w:t>Амагалон</w:t>
      </w:r>
      <w:proofErr w:type="spellEnd"/>
      <w:r>
        <w:rPr>
          <w:rFonts w:ascii="Times New Roman" w:eastAsia="Times New Roman" w:hAnsi="Times New Roman" w:cs="Times New Roman"/>
          <w:sz w:val="28"/>
          <w:szCs w:val="28"/>
        </w:rPr>
        <w:t xml:space="preserve">; ДОУ «Тут растут» ИП </w:t>
      </w:r>
      <w:proofErr w:type="spellStart"/>
      <w:r>
        <w:rPr>
          <w:rFonts w:ascii="Times New Roman" w:eastAsia="Times New Roman" w:hAnsi="Times New Roman" w:cs="Times New Roman"/>
          <w:sz w:val="28"/>
          <w:szCs w:val="28"/>
        </w:rPr>
        <w:t>Михалдыка</w:t>
      </w:r>
      <w:proofErr w:type="spellEnd"/>
      <w:r>
        <w:rPr>
          <w:rFonts w:ascii="Times New Roman" w:eastAsia="Times New Roman" w:hAnsi="Times New Roman" w:cs="Times New Roman"/>
          <w:sz w:val="28"/>
          <w:szCs w:val="28"/>
        </w:rPr>
        <w:t xml:space="preserve">; ДОУ «Светлячок» ИП </w:t>
      </w:r>
      <w:proofErr w:type="spellStart"/>
      <w:r>
        <w:rPr>
          <w:rFonts w:ascii="Times New Roman" w:eastAsia="Times New Roman" w:hAnsi="Times New Roman" w:cs="Times New Roman"/>
          <w:sz w:val="28"/>
          <w:szCs w:val="28"/>
        </w:rPr>
        <w:t>Мизгирёва</w:t>
      </w:r>
      <w:proofErr w:type="spellEnd"/>
      <w:r>
        <w:rPr>
          <w:rFonts w:ascii="Times New Roman" w:eastAsia="Times New Roman" w:hAnsi="Times New Roman" w:cs="Times New Roman"/>
          <w:sz w:val="28"/>
          <w:szCs w:val="28"/>
        </w:rPr>
        <w:t xml:space="preserve">; ЧДОУ «Детская академия» ИП </w:t>
      </w:r>
      <w:proofErr w:type="spellStart"/>
      <w:r>
        <w:rPr>
          <w:rFonts w:ascii="Times New Roman" w:eastAsia="Times New Roman" w:hAnsi="Times New Roman" w:cs="Times New Roman"/>
          <w:sz w:val="28"/>
          <w:szCs w:val="28"/>
        </w:rPr>
        <w:t>Иванушко</w:t>
      </w:r>
      <w:proofErr w:type="spellEnd"/>
      <w:r>
        <w:rPr>
          <w:rFonts w:ascii="Times New Roman" w:eastAsia="Times New Roman" w:hAnsi="Times New Roman" w:cs="Times New Roman"/>
          <w:sz w:val="28"/>
          <w:szCs w:val="28"/>
        </w:rPr>
        <w:t xml:space="preserve">. В  </w:t>
      </w:r>
      <w:r>
        <w:rPr>
          <w:rFonts w:ascii="Times New Roman" w:eastAsia="Times New Roman" w:hAnsi="Times New Roman" w:cs="Times New Roman"/>
          <w:sz w:val="28"/>
          <w:szCs w:val="28"/>
          <w:lang w:val="en-US"/>
        </w:rPr>
        <w:t>IV</w:t>
      </w:r>
      <w:r>
        <w:rPr>
          <w:rFonts w:ascii="Times New Roman" w:eastAsia="Times New Roman" w:hAnsi="Times New Roman" w:cs="Times New Roman"/>
          <w:sz w:val="28"/>
          <w:szCs w:val="28"/>
        </w:rPr>
        <w:t xml:space="preserve"> квартале 2025 года Программой охвачено 368 детей.</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 состоянию на 10 декабря 2025 года количество обращений за услугой (приём заявлений на постановку в очередь/зачисление в детский сад) составило 513 (АППГ – 347) (за IV квартал 2025 года), из них: обратились лично в управление образования и молодежной политики администрации - 149 человек (АППГ – 98); в КГАУ ПК «Многофункциональный центр предоставления государственных и муниципальных услуг в Приморском крае» - 124 человека (АППГ – 107); посредством федеральной государственной информационной системе «Единый портал государственных и муниципальных услуг» - 240 человек (АППГ – 130) . </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Всего за 2025 год рассмотрено 3449 заявлений (АППГ – 3176), из них: заявлений на постановку в очередь/зачисление в детский сад 2772 заявления (АППГ – 2593); заявлений на перевод / смену дошкольной образовательной организации - 677 (АППГ - 583).</w:t>
      </w:r>
    </w:p>
    <w:p w:rsidR="00B52DE3" w:rsidRDefault="00DE73E3">
      <w:pPr>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В 2026 году будет продолжена работа по организации предоставления общедоступного и бесплатного дошкольного образования.</w:t>
      </w:r>
    </w:p>
    <w:p w:rsidR="00B52DE3" w:rsidRDefault="00B52DE3">
      <w:pPr>
        <w:tabs>
          <w:tab w:val="left" w:pos="709"/>
        </w:tabs>
        <w:spacing w:after="0" w:line="360" w:lineRule="auto"/>
        <w:ind w:firstLine="709"/>
        <w:jc w:val="both"/>
        <w:rPr>
          <w:rFonts w:ascii="Times New Roman" w:hAnsi="Times New Roman" w:cs="Times New Roman"/>
        </w:rPr>
      </w:pPr>
    </w:p>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b/>
          <w:bCs/>
          <w:sz w:val="28"/>
          <w:szCs w:val="28"/>
        </w:rPr>
        <w:lastRenderedPageBreak/>
        <w:t>Количество детей, состоящих на учете для определения в дошкольные образовательные учреждения на 31 декабря 2025 года</w:t>
      </w:r>
    </w:p>
    <w:p w:rsidR="00B52DE3" w:rsidRDefault="00B52DE3">
      <w:pPr>
        <w:widowControl w:val="0"/>
        <w:tabs>
          <w:tab w:val="left" w:pos="709"/>
        </w:tabs>
        <w:spacing w:after="0" w:line="360" w:lineRule="auto"/>
        <w:ind w:firstLine="709"/>
        <w:contextualSpacing/>
        <w:jc w:val="center"/>
        <w:rPr>
          <w:rFonts w:ascii="Times New Roman" w:hAnsi="Times New Roman" w:cs="Times New Roman"/>
          <w:sz w:val="28"/>
          <w:szCs w:val="28"/>
        </w:rPr>
      </w:pPr>
    </w:p>
    <w:tbl>
      <w:tblPr>
        <w:tblW w:w="9193" w:type="dxa"/>
        <w:tblInd w:w="-48" w:type="dxa"/>
        <w:tblLayout w:type="fixed"/>
        <w:tblLook w:val="04A0"/>
      </w:tblPr>
      <w:tblGrid>
        <w:gridCol w:w="4723"/>
        <w:gridCol w:w="4470"/>
      </w:tblGrid>
      <w:tr w:rsidR="00B52DE3">
        <w:tc>
          <w:tcPr>
            <w:tcW w:w="4722" w:type="dxa"/>
            <w:tcBorders>
              <w:top w:val="single" w:sz="2" w:space="0" w:color="000000"/>
              <w:left w:val="single" w:sz="2" w:space="0" w:color="000000"/>
              <w:bottom w:val="single" w:sz="2"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Возраст детей</w:t>
            </w:r>
          </w:p>
        </w:tc>
        <w:tc>
          <w:tcPr>
            <w:tcW w:w="4470" w:type="dxa"/>
            <w:tcBorders>
              <w:top w:val="single" w:sz="2" w:space="0" w:color="000000"/>
              <w:left w:val="single" w:sz="2" w:space="0" w:color="000000"/>
              <w:bottom w:val="single" w:sz="2" w:space="0" w:color="000000"/>
              <w:right w:val="single" w:sz="2"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Количество детей в очереди</w:t>
            </w:r>
          </w:p>
        </w:tc>
      </w:tr>
      <w:tr w:rsidR="00B52DE3">
        <w:tc>
          <w:tcPr>
            <w:tcW w:w="4722" w:type="dxa"/>
            <w:tcBorders>
              <w:left w:val="single" w:sz="2" w:space="0" w:color="000000"/>
              <w:bottom w:val="single" w:sz="2"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От 0 до 1,5 лет</w:t>
            </w:r>
          </w:p>
        </w:tc>
        <w:tc>
          <w:tcPr>
            <w:tcW w:w="4470" w:type="dxa"/>
            <w:tcBorders>
              <w:left w:val="single" w:sz="2" w:space="0" w:color="000000"/>
              <w:bottom w:val="single" w:sz="2" w:space="0" w:color="000000"/>
              <w:right w:val="single" w:sz="2"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1273</w:t>
            </w:r>
          </w:p>
        </w:tc>
      </w:tr>
      <w:tr w:rsidR="00B52DE3">
        <w:tc>
          <w:tcPr>
            <w:tcW w:w="4722" w:type="dxa"/>
            <w:tcBorders>
              <w:left w:val="single" w:sz="2" w:space="0" w:color="000000"/>
              <w:bottom w:val="single" w:sz="2"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От 1,5 до 3х лет</w:t>
            </w:r>
          </w:p>
        </w:tc>
        <w:tc>
          <w:tcPr>
            <w:tcW w:w="4470" w:type="dxa"/>
            <w:tcBorders>
              <w:left w:val="single" w:sz="2" w:space="0" w:color="000000"/>
              <w:bottom w:val="single" w:sz="2" w:space="0" w:color="000000"/>
              <w:right w:val="single" w:sz="2"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667</w:t>
            </w:r>
          </w:p>
        </w:tc>
      </w:tr>
      <w:tr w:rsidR="00B52DE3">
        <w:tc>
          <w:tcPr>
            <w:tcW w:w="4722" w:type="dxa"/>
            <w:tcBorders>
              <w:left w:val="single" w:sz="2" w:space="0" w:color="000000"/>
              <w:bottom w:val="single" w:sz="2"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От 3 до 7 лет</w:t>
            </w:r>
          </w:p>
        </w:tc>
        <w:tc>
          <w:tcPr>
            <w:tcW w:w="4470" w:type="dxa"/>
            <w:tcBorders>
              <w:left w:val="single" w:sz="2" w:space="0" w:color="000000"/>
              <w:bottom w:val="single" w:sz="2" w:space="0" w:color="000000"/>
              <w:right w:val="single" w:sz="2"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sz w:val="28"/>
                <w:szCs w:val="28"/>
              </w:rPr>
              <w:t>115</w:t>
            </w:r>
          </w:p>
        </w:tc>
      </w:tr>
      <w:tr w:rsidR="00B52DE3">
        <w:tc>
          <w:tcPr>
            <w:tcW w:w="4722" w:type="dxa"/>
            <w:tcBorders>
              <w:left w:val="single" w:sz="2" w:space="0" w:color="000000"/>
              <w:bottom w:val="single" w:sz="2" w:space="0" w:color="000000"/>
            </w:tcBorders>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Итого</w:t>
            </w:r>
          </w:p>
        </w:tc>
        <w:tc>
          <w:tcPr>
            <w:tcW w:w="4470" w:type="dxa"/>
            <w:tcBorders>
              <w:left w:val="single" w:sz="2" w:space="0" w:color="000000"/>
              <w:bottom w:val="single" w:sz="2" w:space="0" w:color="000000"/>
              <w:right w:val="single" w:sz="2" w:space="0" w:color="000000"/>
            </w:tcBorders>
          </w:tcPr>
          <w:p w:rsidR="00B52DE3" w:rsidRDefault="00DE73E3">
            <w:pPr>
              <w:widowControl w:val="0"/>
              <w:jc w:val="center"/>
              <w:rPr>
                <w:rFonts w:ascii="Times New Roman" w:hAnsi="Times New Roman" w:cs="Times New Roman"/>
              </w:rPr>
            </w:pPr>
            <w:r>
              <w:rPr>
                <w:rFonts w:ascii="Times New Roman" w:eastAsia="Times New Roman" w:hAnsi="Times New Roman" w:cs="Times New Roman"/>
                <w:b/>
                <w:bCs/>
                <w:sz w:val="28"/>
                <w:szCs w:val="28"/>
              </w:rPr>
              <w:t>2055</w:t>
            </w:r>
          </w:p>
        </w:tc>
      </w:tr>
    </w:tbl>
    <w:p w:rsidR="00B52DE3" w:rsidRDefault="00B52DE3">
      <w:pPr>
        <w:widowControl w:val="0"/>
        <w:spacing w:after="0" w:line="360" w:lineRule="auto"/>
        <w:ind w:firstLine="709"/>
        <w:jc w:val="both"/>
        <w:rPr>
          <w:rFonts w:ascii="Times New Roman" w:hAnsi="Times New Roman" w:cs="Times New Roman"/>
        </w:rPr>
      </w:pP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16 марта 2025 года по 31 марта 2025 года в отборочном этапе муниципального конкурса детских исследовательских работ «Я – исследователь» приняли участие 27 обучающихся 6-7 лет, в финале –                         8 обучающихся.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 16 марта 2025 года по 26 марта 2025 года в отборочном этапе муниципального конкурса «Весёлые нотки» приняли участие                                   252 обучающихся 6-7 лет, в финале – 35 обучающихся.</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01 сентября 2025 года по настоящее время в дошкольных образовательных организациях Уссурийского городского округа реализуются следующие муниципальные проекты:</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«Культурный дневник дошкольника» (подготовительные группы) – охват 1698 воспитанников;</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«Профессии моего города» (старшие группы) – охват                                     1744 воспитанника;</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Агростарт</w:t>
      </w:r>
      <w:proofErr w:type="spellEnd"/>
      <w:r>
        <w:rPr>
          <w:rFonts w:ascii="Times New Roman" w:eastAsia="Times New Roman" w:hAnsi="Times New Roman" w:cs="Times New Roman"/>
          <w:sz w:val="28"/>
          <w:szCs w:val="28"/>
        </w:rPr>
        <w:t>» – охват 459 воспитанников;</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Маугли</w:t>
      </w:r>
      <w:proofErr w:type="spellEnd"/>
      <w:r>
        <w:rPr>
          <w:rFonts w:ascii="Times New Roman" w:eastAsia="Times New Roman" w:hAnsi="Times New Roman" w:cs="Times New Roman"/>
          <w:sz w:val="28"/>
          <w:szCs w:val="28"/>
        </w:rPr>
        <w:t>» – охват 183 воспитанника;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Продетей</w:t>
      </w:r>
      <w:proofErr w:type="spellEnd"/>
      <w:r>
        <w:rPr>
          <w:rFonts w:ascii="Times New Roman" w:eastAsia="Times New Roman" w:hAnsi="Times New Roman" w:cs="Times New Roman"/>
          <w:sz w:val="28"/>
          <w:szCs w:val="28"/>
        </w:rPr>
        <w:t>» – охват 2570 воспитанников.</w:t>
      </w:r>
    </w:p>
    <w:p w:rsidR="00B52DE3" w:rsidRDefault="00B52DE3">
      <w:pPr>
        <w:widowControl w:val="0"/>
        <w:spacing w:after="0" w:line="360" w:lineRule="auto"/>
        <w:ind w:left="709"/>
        <w:jc w:val="both"/>
        <w:rPr>
          <w:rFonts w:ascii="Times New Roman" w:hAnsi="Times New Roman" w:cs="Times New Roman"/>
          <w:sz w:val="28"/>
          <w:szCs w:val="28"/>
        </w:rPr>
      </w:pPr>
    </w:p>
    <w:p w:rsidR="00B52DE3" w:rsidRDefault="00DE73E3">
      <w:pPr>
        <w:pStyle w:val="2f6"/>
        <w:spacing w:before="0"/>
        <w:ind w:left="0"/>
      </w:pPr>
      <w:bookmarkStart w:id="38" w:name="_Toc39"/>
      <w:r>
        <w:t>Дополнительное образование детей</w:t>
      </w:r>
      <w:bookmarkEnd w:id="38"/>
    </w:p>
    <w:p w:rsidR="00B52DE3" w:rsidRDefault="00B52DE3">
      <w:pPr>
        <w:pStyle w:val="2f6"/>
        <w:keepNext w:val="0"/>
        <w:spacing w:before="0"/>
      </w:pPr>
    </w:p>
    <w:p w:rsidR="00B52DE3" w:rsidRDefault="00DE73E3">
      <w:pPr>
        <w:pStyle w:val="1f9"/>
        <w:widowControl w:val="0"/>
        <w:spacing w:before="0" w:after="0" w:line="360" w:lineRule="auto"/>
        <w:ind w:right="-2" w:firstLine="709"/>
        <w:jc w:val="both"/>
      </w:pPr>
      <w:r>
        <w:rPr>
          <w:sz w:val="28"/>
          <w:szCs w:val="28"/>
        </w:rPr>
        <w:lastRenderedPageBreak/>
        <w:t>В муниципальной образовательной сети Уссурийского городского округа функционирует четыре учреждения дополнительного образования различных типов и видов.</w:t>
      </w:r>
    </w:p>
    <w:p w:rsidR="00B52DE3" w:rsidRDefault="00B52DE3">
      <w:pPr>
        <w:pStyle w:val="afff0"/>
        <w:widowControl w:val="0"/>
        <w:spacing w:before="0" w:after="0" w:line="360" w:lineRule="auto"/>
        <w:ind w:right="-2" w:firstLine="851"/>
        <w:jc w:val="both"/>
        <w:rPr>
          <w:b/>
          <w:bCs/>
          <w:sz w:val="28"/>
          <w:szCs w:val="28"/>
        </w:rPr>
      </w:pPr>
    </w:p>
    <w:p w:rsidR="00B52DE3" w:rsidRDefault="00DE73E3">
      <w:pPr>
        <w:pStyle w:val="afff0"/>
        <w:widowControl w:val="0"/>
        <w:spacing w:before="0" w:after="0" w:line="360" w:lineRule="auto"/>
        <w:ind w:right="-2" w:firstLine="851"/>
        <w:jc w:val="center"/>
      </w:pPr>
      <w:r>
        <w:rPr>
          <w:rFonts w:eastAsia="Times New Roman"/>
          <w:b/>
          <w:bCs/>
          <w:sz w:val="28"/>
          <w:szCs w:val="28"/>
        </w:rPr>
        <w:t xml:space="preserve">Учреждения дополнительного образования </w:t>
      </w:r>
    </w:p>
    <w:p w:rsidR="00B52DE3" w:rsidRDefault="00B52DE3">
      <w:pPr>
        <w:pStyle w:val="afff0"/>
        <w:widowControl w:val="0"/>
        <w:spacing w:before="0" w:after="0" w:line="360" w:lineRule="auto"/>
        <w:ind w:right="-2" w:firstLine="851"/>
        <w:jc w:val="center"/>
        <w:rPr>
          <w:sz w:val="28"/>
          <w:szCs w:val="28"/>
        </w:rPr>
      </w:pPr>
    </w:p>
    <w:tbl>
      <w:tblPr>
        <w:tblW w:w="5000" w:type="pct"/>
        <w:tblInd w:w="-5" w:type="dxa"/>
        <w:tblLayout w:type="fixed"/>
        <w:tblCellMar>
          <w:top w:w="55" w:type="dxa"/>
          <w:left w:w="55" w:type="dxa"/>
          <w:bottom w:w="55" w:type="dxa"/>
          <w:right w:w="55" w:type="dxa"/>
        </w:tblCellMar>
        <w:tblLook w:val="04A0"/>
      </w:tblPr>
      <w:tblGrid>
        <w:gridCol w:w="3824"/>
        <w:gridCol w:w="2485"/>
        <w:gridCol w:w="3156"/>
      </w:tblGrid>
      <w:tr w:rsidR="00B52DE3">
        <w:tc>
          <w:tcPr>
            <w:tcW w:w="3780" w:type="dxa"/>
            <w:tcBorders>
              <w:top w:val="single" w:sz="4" w:space="0" w:color="000000"/>
              <w:left w:val="single" w:sz="4" w:space="0" w:color="000000"/>
              <w:bottom w:val="single" w:sz="4" w:space="0" w:color="000000"/>
            </w:tcBorders>
          </w:tcPr>
          <w:p w:rsidR="00B52DE3" w:rsidRDefault="00DE73E3">
            <w:pPr>
              <w:pStyle w:val="afffc"/>
              <w:jc w:val="center"/>
              <w:rPr>
                <w:rFonts w:ascii="Times New Roman" w:hAnsi="Times New Roman" w:cs="Times New Roman"/>
              </w:rPr>
            </w:pPr>
            <w:r>
              <w:rPr>
                <w:rFonts w:ascii="Times New Roman" w:hAnsi="Times New Roman" w:cs="Times New Roman"/>
                <w:sz w:val="28"/>
                <w:szCs w:val="28"/>
              </w:rPr>
              <w:t>Виды учреждений</w:t>
            </w:r>
          </w:p>
        </w:tc>
        <w:tc>
          <w:tcPr>
            <w:tcW w:w="2456" w:type="dxa"/>
            <w:tcBorders>
              <w:top w:val="single" w:sz="4" w:space="0" w:color="000000"/>
              <w:left w:val="single" w:sz="4" w:space="0" w:color="000000"/>
              <w:bottom w:val="single" w:sz="4" w:space="0" w:color="000000"/>
            </w:tcBorders>
          </w:tcPr>
          <w:p w:rsidR="00B52DE3" w:rsidRDefault="00DE73E3">
            <w:pPr>
              <w:pStyle w:val="afffc"/>
              <w:jc w:val="center"/>
              <w:rPr>
                <w:rFonts w:ascii="Times New Roman" w:hAnsi="Times New Roman" w:cs="Times New Roman"/>
              </w:rPr>
            </w:pPr>
            <w:r>
              <w:rPr>
                <w:rFonts w:ascii="Times New Roman" w:hAnsi="Times New Roman" w:cs="Times New Roman"/>
                <w:sz w:val="28"/>
                <w:szCs w:val="28"/>
              </w:rPr>
              <w:t>Количество учреждений</w:t>
            </w:r>
          </w:p>
        </w:tc>
        <w:tc>
          <w:tcPr>
            <w:tcW w:w="3119" w:type="dxa"/>
            <w:tcBorders>
              <w:top w:val="single" w:sz="4" w:space="0" w:color="000000"/>
              <w:left w:val="single" w:sz="4" w:space="0" w:color="000000"/>
              <w:bottom w:val="single" w:sz="4" w:space="0" w:color="000000"/>
              <w:right w:val="single" w:sz="4" w:space="0" w:color="000000"/>
            </w:tcBorders>
          </w:tcPr>
          <w:p w:rsidR="00B52DE3" w:rsidRDefault="00DE73E3">
            <w:pPr>
              <w:pStyle w:val="afffc"/>
              <w:jc w:val="center"/>
              <w:rPr>
                <w:rFonts w:ascii="Times New Roman" w:hAnsi="Times New Roman" w:cs="Times New Roman"/>
              </w:rPr>
            </w:pPr>
            <w:r>
              <w:rPr>
                <w:rFonts w:ascii="Times New Roman" w:hAnsi="Times New Roman" w:cs="Times New Roman"/>
                <w:sz w:val="28"/>
                <w:szCs w:val="28"/>
              </w:rPr>
              <w:t>Перечень учреждений</w:t>
            </w:r>
          </w:p>
        </w:tc>
      </w:tr>
      <w:tr w:rsidR="00B52DE3">
        <w:tc>
          <w:tcPr>
            <w:tcW w:w="3780" w:type="dxa"/>
            <w:tcBorders>
              <w:left w:val="single" w:sz="4" w:space="0" w:color="000000"/>
              <w:bottom w:val="single" w:sz="4" w:space="0" w:color="000000"/>
            </w:tcBorders>
          </w:tcPr>
          <w:p w:rsidR="00B52DE3" w:rsidRDefault="00DE73E3">
            <w:pPr>
              <w:pStyle w:val="afffc"/>
              <w:rPr>
                <w:rFonts w:ascii="Times New Roman" w:hAnsi="Times New Roman" w:cs="Times New Roman"/>
              </w:rPr>
            </w:pPr>
            <w:r>
              <w:rPr>
                <w:rFonts w:ascii="Times New Roman" w:hAnsi="Times New Roman" w:cs="Times New Roman"/>
                <w:sz w:val="28"/>
                <w:szCs w:val="28"/>
              </w:rPr>
              <w:t>центр, работающий по программам различной тематической направленности</w:t>
            </w:r>
          </w:p>
        </w:tc>
        <w:tc>
          <w:tcPr>
            <w:tcW w:w="2456" w:type="dxa"/>
            <w:tcBorders>
              <w:left w:val="single" w:sz="4" w:space="0" w:color="000000"/>
              <w:bottom w:val="single" w:sz="4" w:space="0" w:color="000000"/>
            </w:tcBorders>
          </w:tcPr>
          <w:p w:rsidR="00B52DE3" w:rsidRDefault="00DE73E3">
            <w:pPr>
              <w:pStyle w:val="afffc"/>
              <w:spacing w:line="360" w:lineRule="auto"/>
              <w:jc w:val="center"/>
              <w:rPr>
                <w:rFonts w:ascii="Times New Roman" w:hAnsi="Times New Roman" w:cs="Times New Roman"/>
              </w:rPr>
            </w:pPr>
            <w:r>
              <w:rPr>
                <w:rFonts w:ascii="Times New Roman" w:hAnsi="Times New Roman" w:cs="Times New Roman"/>
                <w:sz w:val="28"/>
                <w:szCs w:val="28"/>
              </w:rPr>
              <w:t>2</w:t>
            </w:r>
          </w:p>
        </w:tc>
        <w:tc>
          <w:tcPr>
            <w:tcW w:w="3119" w:type="dxa"/>
            <w:tcBorders>
              <w:left w:val="single" w:sz="4" w:space="0" w:color="000000"/>
              <w:bottom w:val="single" w:sz="4" w:space="0" w:color="000000"/>
              <w:right w:val="single" w:sz="4" w:space="0" w:color="000000"/>
            </w:tcBorders>
          </w:tcPr>
          <w:p w:rsidR="00B52DE3" w:rsidRDefault="00DE73E3">
            <w:pPr>
              <w:pStyle w:val="afffc"/>
              <w:rPr>
                <w:rFonts w:ascii="Times New Roman" w:hAnsi="Times New Roman" w:cs="Times New Roman"/>
              </w:rPr>
            </w:pPr>
            <w:r>
              <w:rPr>
                <w:rFonts w:ascii="Times New Roman" w:hAnsi="Times New Roman" w:cs="Times New Roman"/>
                <w:sz w:val="28"/>
                <w:szCs w:val="28"/>
              </w:rPr>
              <w:t>МБОУ ДО ЦДТ, МБОУ ДО ЦРТДЮ</w:t>
            </w:r>
          </w:p>
        </w:tc>
      </w:tr>
      <w:tr w:rsidR="00B52DE3">
        <w:tc>
          <w:tcPr>
            <w:tcW w:w="3780" w:type="dxa"/>
            <w:tcBorders>
              <w:left w:val="single" w:sz="4" w:space="0" w:color="000000"/>
              <w:bottom w:val="single" w:sz="4" w:space="0" w:color="000000"/>
            </w:tcBorders>
          </w:tcPr>
          <w:p w:rsidR="00B52DE3" w:rsidRDefault="00DE73E3">
            <w:pPr>
              <w:pStyle w:val="afffc"/>
              <w:rPr>
                <w:rFonts w:ascii="Times New Roman" w:hAnsi="Times New Roman" w:cs="Times New Roman"/>
              </w:rPr>
            </w:pPr>
            <w:r>
              <w:rPr>
                <w:rFonts w:ascii="Times New Roman" w:hAnsi="Times New Roman" w:cs="Times New Roman"/>
                <w:sz w:val="28"/>
                <w:szCs w:val="28"/>
              </w:rPr>
              <w:t>детско-юношеская спортивная школа</w:t>
            </w:r>
          </w:p>
        </w:tc>
        <w:tc>
          <w:tcPr>
            <w:tcW w:w="2456" w:type="dxa"/>
            <w:tcBorders>
              <w:left w:val="single" w:sz="4" w:space="0" w:color="000000"/>
              <w:bottom w:val="single" w:sz="4" w:space="0" w:color="000000"/>
            </w:tcBorders>
          </w:tcPr>
          <w:p w:rsidR="00B52DE3" w:rsidRDefault="00DE73E3">
            <w:pPr>
              <w:pStyle w:val="afffc"/>
              <w:spacing w:line="360" w:lineRule="auto"/>
              <w:jc w:val="center"/>
              <w:rPr>
                <w:rFonts w:ascii="Times New Roman" w:hAnsi="Times New Roman" w:cs="Times New Roman"/>
              </w:rPr>
            </w:pPr>
            <w:r>
              <w:rPr>
                <w:rFonts w:ascii="Times New Roman" w:hAnsi="Times New Roman" w:cs="Times New Roman"/>
                <w:sz w:val="28"/>
                <w:szCs w:val="28"/>
              </w:rPr>
              <w:t>1</w:t>
            </w:r>
          </w:p>
        </w:tc>
        <w:tc>
          <w:tcPr>
            <w:tcW w:w="3119" w:type="dxa"/>
            <w:tcBorders>
              <w:left w:val="single" w:sz="4" w:space="0" w:color="000000"/>
              <w:bottom w:val="single" w:sz="4" w:space="0" w:color="000000"/>
              <w:right w:val="single" w:sz="4" w:space="0" w:color="000000"/>
            </w:tcBorders>
          </w:tcPr>
          <w:p w:rsidR="00B52DE3" w:rsidRDefault="00DE73E3">
            <w:pPr>
              <w:pStyle w:val="afffc"/>
              <w:rPr>
                <w:rFonts w:ascii="Times New Roman" w:hAnsi="Times New Roman" w:cs="Times New Roman"/>
              </w:rPr>
            </w:pPr>
            <w:r>
              <w:rPr>
                <w:rFonts w:ascii="Times New Roman" w:hAnsi="Times New Roman" w:cs="Times New Roman"/>
                <w:sz w:val="28"/>
                <w:szCs w:val="28"/>
              </w:rPr>
              <w:t>МБОУ СШ</w:t>
            </w:r>
          </w:p>
        </w:tc>
      </w:tr>
      <w:tr w:rsidR="00B52DE3">
        <w:tc>
          <w:tcPr>
            <w:tcW w:w="3780" w:type="dxa"/>
            <w:tcBorders>
              <w:left w:val="single" w:sz="4" w:space="0" w:color="000000"/>
              <w:bottom w:val="single" w:sz="4" w:space="0" w:color="000000"/>
            </w:tcBorders>
          </w:tcPr>
          <w:p w:rsidR="00B52DE3" w:rsidRDefault="00DE73E3">
            <w:pPr>
              <w:pStyle w:val="afffc"/>
              <w:rPr>
                <w:rFonts w:ascii="Times New Roman" w:hAnsi="Times New Roman" w:cs="Times New Roman"/>
              </w:rPr>
            </w:pPr>
            <w:r>
              <w:rPr>
                <w:rFonts w:ascii="Times New Roman" w:hAnsi="Times New Roman" w:cs="Times New Roman"/>
                <w:sz w:val="28"/>
                <w:szCs w:val="28"/>
              </w:rPr>
              <w:t>станция, работающая по техническому направлению</w:t>
            </w:r>
          </w:p>
        </w:tc>
        <w:tc>
          <w:tcPr>
            <w:tcW w:w="2456" w:type="dxa"/>
            <w:tcBorders>
              <w:left w:val="single" w:sz="4" w:space="0" w:color="000000"/>
              <w:bottom w:val="single" w:sz="4" w:space="0" w:color="000000"/>
            </w:tcBorders>
          </w:tcPr>
          <w:p w:rsidR="00B52DE3" w:rsidRDefault="00DE73E3">
            <w:pPr>
              <w:pStyle w:val="afffc"/>
              <w:spacing w:line="360" w:lineRule="auto"/>
              <w:jc w:val="center"/>
              <w:rPr>
                <w:rFonts w:ascii="Times New Roman" w:hAnsi="Times New Roman" w:cs="Times New Roman"/>
              </w:rPr>
            </w:pPr>
            <w:r>
              <w:rPr>
                <w:rFonts w:ascii="Times New Roman" w:hAnsi="Times New Roman" w:cs="Times New Roman"/>
                <w:sz w:val="28"/>
                <w:szCs w:val="28"/>
              </w:rPr>
              <w:t>1</w:t>
            </w:r>
          </w:p>
        </w:tc>
        <w:tc>
          <w:tcPr>
            <w:tcW w:w="3119" w:type="dxa"/>
            <w:tcBorders>
              <w:left w:val="single" w:sz="4" w:space="0" w:color="000000"/>
              <w:bottom w:val="single" w:sz="4" w:space="0" w:color="000000"/>
              <w:right w:val="single" w:sz="4" w:space="0" w:color="000000"/>
            </w:tcBorders>
          </w:tcPr>
          <w:p w:rsidR="00B52DE3" w:rsidRDefault="00DE73E3">
            <w:pPr>
              <w:pStyle w:val="afffc"/>
              <w:rPr>
                <w:rFonts w:ascii="Times New Roman" w:hAnsi="Times New Roman" w:cs="Times New Roman"/>
              </w:rPr>
            </w:pPr>
            <w:r>
              <w:rPr>
                <w:rFonts w:ascii="Times New Roman" w:hAnsi="Times New Roman" w:cs="Times New Roman"/>
                <w:sz w:val="28"/>
                <w:szCs w:val="28"/>
              </w:rPr>
              <w:t>МБОУ ДО «Станция юных техников»</w:t>
            </w:r>
          </w:p>
        </w:tc>
      </w:tr>
    </w:tbl>
    <w:p w:rsidR="00B52DE3" w:rsidRDefault="00B52DE3">
      <w:pPr>
        <w:widowControl w:val="0"/>
        <w:spacing w:after="0" w:line="360" w:lineRule="auto"/>
        <w:ind w:firstLine="851"/>
        <w:jc w:val="both"/>
        <w:rPr>
          <w:rFonts w:ascii="Times New Roman" w:hAnsi="Times New Roman" w:cs="Times New Roman"/>
          <w:sz w:val="28"/>
          <w:szCs w:val="28"/>
        </w:rPr>
      </w:pPr>
    </w:p>
    <w:p w:rsidR="00B52DE3" w:rsidRDefault="00DE73E3">
      <w:pPr>
        <w:pStyle w:val="2f6"/>
        <w:keepNext w:val="0"/>
        <w:spacing w:before="0" w:line="240" w:lineRule="auto"/>
        <w:ind w:left="0"/>
      </w:pPr>
      <w:bookmarkStart w:id="39" w:name="_Toc40"/>
      <w:r>
        <w:t>Организация отдыха, оздоровления и занятости детей в каникулярное время</w:t>
      </w:r>
      <w:bookmarkEnd w:id="39"/>
    </w:p>
    <w:p w:rsidR="00B52DE3" w:rsidRDefault="00B52DE3">
      <w:pPr>
        <w:pStyle w:val="2f6"/>
        <w:keepNext w:val="0"/>
        <w:spacing w:before="0" w:line="240" w:lineRule="auto"/>
        <w:ind w:left="0"/>
      </w:pP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Организация отдыха, оздоровления, занятости детей и подростков Уссурийского городского округа является одним из приоритетных направлений социальной политики, цель которой – реализация мероприятий в области защиты детства, создание необходимых условий для организации отдыха и оздоровления детей и подростков, обеспечение их занятости в период каникул.</w:t>
      </w:r>
    </w:p>
    <w:p w:rsidR="00B52DE3" w:rsidRDefault="00DE73E3">
      <w:pPr>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целях обеспечения безопасных условий пребывания детей в оздоровительных лагерях с дневным пребыванием детей специалистами </w:t>
      </w:r>
      <w:r>
        <w:rPr>
          <w:rFonts w:ascii="Times New Roman" w:eastAsia="Times New Roman" w:hAnsi="Times New Roman" w:cs="Times New Roman"/>
          <w:color w:val="000000"/>
          <w:spacing w:val="-2"/>
          <w:sz w:val="28"/>
          <w:szCs w:val="28"/>
        </w:rPr>
        <w:t xml:space="preserve">Уссурийского филиала ФБУЗ «Центр гигиены и эпидемиологии в Приморском крае» в период с 14 апреля по 12 мая проведена </w:t>
      </w:r>
      <w:r>
        <w:rPr>
          <w:rFonts w:ascii="Times New Roman" w:eastAsia="Times New Roman" w:hAnsi="Times New Roman" w:cs="Times New Roman"/>
          <w:sz w:val="28"/>
          <w:szCs w:val="28"/>
        </w:rPr>
        <w:t xml:space="preserve">санитарно-эпидемиологическая экспертиза, </w:t>
      </w:r>
      <w:r>
        <w:rPr>
          <w:rFonts w:ascii="Times New Roman" w:eastAsia="Times New Roman" w:hAnsi="Times New Roman" w:cs="Times New Roman"/>
          <w:color w:val="000000"/>
          <w:sz w:val="28"/>
          <w:szCs w:val="28"/>
        </w:rPr>
        <w:t xml:space="preserve">по результатам экспертизы и проверок, проведенных специалистами территориального отдела Управления Федеральной службы по надзору в сфере защиты прав потребителей и </w:t>
      </w:r>
      <w:r>
        <w:rPr>
          <w:rFonts w:ascii="Times New Roman" w:eastAsia="Times New Roman" w:hAnsi="Times New Roman" w:cs="Times New Roman"/>
          <w:color w:val="000000"/>
          <w:sz w:val="28"/>
          <w:szCs w:val="28"/>
        </w:rPr>
        <w:lastRenderedPageBreak/>
        <w:t xml:space="preserve">благополучия человека по Приморскому краю в г. Уссурийске, каждому учреждению выдано санитарно-эпидемиологическое заключение о соответствии деятельности, осуществляемой организацией отдыха и оздоровления санитарно-эпидемиологическим требованиям (оздоровительные организации на базе подведомственных учреждений). </w:t>
      </w:r>
    </w:p>
    <w:p w:rsidR="00B52DE3" w:rsidRDefault="00DE73E3">
      <w:pPr>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В период с 13 по 26 мая 2025 года оздоровительные лагеря с дневным пребыванием детей, организуемые на базе функционирующих общеобразовательных учреждений и учреждений дополнительного образования были обследованы муниципальной межведомственной комиссией по организации отдыха и оздоровления детей Уссурийского городского округа на предмет готовности к приему детей, по результатам обследования подписаны акты готовности оздоровительных лагерей к приему детей.</w:t>
      </w:r>
    </w:p>
    <w:p w:rsidR="00B52DE3" w:rsidRDefault="00DE73E3">
      <w:pPr>
        <w:spacing w:after="0" w:line="360" w:lineRule="auto"/>
        <w:ind w:firstLine="720"/>
        <w:contextualSpacing/>
        <w:jc w:val="both"/>
        <w:rPr>
          <w:rFonts w:ascii="Times New Roman" w:hAnsi="Times New Roman" w:cs="Times New Roman"/>
        </w:rPr>
      </w:pPr>
      <w:r>
        <w:rPr>
          <w:rFonts w:ascii="Times New Roman" w:eastAsia="Times New Roman" w:hAnsi="Times New Roman" w:cs="Times New Roman"/>
          <w:color w:val="000000"/>
          <w:sz w:val="28"/>
          <w:szCs w:val="28"/>
        </w:rPr>
        <w:t>По состоянию на 30 мая 2025 года 41 оздоровительный лагерь с дневным пребыванием и 2 загородных лагеря, располагающихся на территории Уссурийского городского округа, включены в Типовой реестр организаций отдыха детей и их оздоровления Приморского края.</w:t>
      </w:r>
    </w:p>
    <w:p w:rsidR="00B52DE3" w:rsidRDefault="00DE73E3">
      <w:pPr>
        <w:spacing w:line="360" w:lineRule="auto"/>
        <w:ind w:firstLine="850"/>
        <w:contextualSpacing/>
        <w:jc w:val="both"/>
        <w:rPr>
          <w:rFonts w:ascii="Times New Roman" w:hAnsi="Times New Roman" w:cs="Times New Roman"/>
        </w:rPr>
      </w:pPr>
      <w:r>
        <w:rPr>
          <w:rFonts w:ascii="Times New Roman" w:eastAsia="Times New Roman" w:hAnsi="Times New Roman" w:cs="Times New Roman"/>
          <w:sz w:val="28"/>
          <w:szCs w:val="28"/>
        </w:rPr>
        <w:t>В Уссурийском городском округе 2 июня 2025 года открылись                     40 оздоровительных лагерей с дневным пребыванием детей (АППГ-38), из них на базе муниципальных образовательных организаций 37 (АППГ — 37) и на базе частных и государственных учреждений 3 (АППГ-1) .</w:t>
      </w:r>
    </w:p>
    <w:p w:rsidR="00B52DE3" w:rsidRDefault="00DE73E3">
      <w:pPr>
        <w:widowControl w:val="0"/>
        <w:spacing w:after="0" w:line="360" w:lineRule="auto"/>
        <w:ind w:firstLine="709"/>
        <w:contextualSpacing/>
        <w:jc w:val="both"/>
        <w:outlineLvl w:val="0"/>
        <w:rPr>
          <w:rFonts w:ascii="Times New Roman" w:hAnsi="Times New Roman" w:cs="Times New Roman"/>
        </w:rPr>
      </w:pPr>
      <w:bookmarkStart w:id="40" w:name="_Toc41"/>
      <w:r>
        <w:rPr>
          <w:rFonts w:ascii="Times New Roman" w:eastAsia="Times New Roman" w:hAnsi="Times New Roman" w:cs="Times New Roman"/>
          <w:color w:val="000000"/>
          <w:sz w:val="28"/>
          <w:szCs w:val="28"/>
        </w:rPr>
        <w:t>Оздоровительные лагеря с дневным пребыванием детей функционировали в три  смены (июнь, июль, август). Продолжительность смены 21 календарный день</w:t>
      </w:r>
      <w:r>
        <w:rPr>
          <w:rFonts w:ascii="Times New Roman" w:eastAsia="Times New Roman" w:hAnsi="Times New Roman" w:cs="Times New Roman"/>
          <w:color w:val="000000"/>
          <w:spacing w:val="-6"/>
          <w:sz w:val="28"/>
          <w:szCs w:val="28"/>
        </w:rPr>
        <w:t xml:space="preserve"> каждая.</w:t>
      </w:r>
      <w:bookmarkEnd w:id="40"/>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pacing w:val="-6"/>
          <w:sz w:val="28"/>
          <w:szCs w:val="28"/>
        </w:rPr>
        <w:t>В первую смену с 02 июня 2025 года по 22 июня 2025 года в оздоровительных лагерях отдохнули и оздоровились дети в количестве                        4 730 человек.</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pacing w:val="-6"/>
          <w:sz w:val="28"/>
          <w:szCs w:val="28"/>
        </w:rPr>
        <w:t xml:space="preserve">Во вторую смену с 25 июня 2025 года по 15 июля 2025 года в оздоровительных лагерях отдохнули и оздоровились дети в количестве                    </w:t>
      </w:r>
      <w:r>
        <w:rPr>
          <w:rFonts w:ascii="Times New Roman" w:eastAsia="Times New Roman" w:hAnsi="Times New Roman" w:cs="Times New Roman"/>
          <w:color w:val="000000"/>
          <w:spacing w:val="-6"/>
          <w:sz w:val="28"/>
          <w:szCs w:val="28"/>
        </w:rPr>
        <w:lastRenderedPageBreak/>
        <w:t>1 955 человек.</w:t>
      </w: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pacing w:val="-6"/>
          <w:sz w:val="28"/>
          <w:szCs w:val="28"/>
        </w:rPr>
        <w:t>В третью смену с 21 июля 2025 года по 10 августа 2025 года в оздоровительных лагерях отдохнули и оздоровились дети в количестве                        787 человек.</w:t>
      </w:r>
    </w:p>
    <w:p w:rsidR="00B52DE3" w:rsidRDefault="00DE73E3">
      <w:pPr>
        <w:widowControl w:val="0"/>
        <w:spacing w:after="0" w:line="360" w:lineRule="auto"/>
        <w:ind w:firstLine="709"/>
        <w:contextualSpacing/>
        <w:jc w:val="both"/>
        <w:outlineLvl w:val="0"/>
        <w:rPr>
          <w:rFonts w:ascii="Times New Roman" w:hAnsi="Times New Roman" w:cs="Times New Roman"/>
        </w:rPr>
      </w:pPr>
      <w:bookmarkStart w:id="41" w:name="_Toc42"/>
      <w:r>
        <w:rPr>
          <w:rFonts w:ascii="Times New Roman" w:eastAsia="Times New Roman" w:hAnsi="Times New Roman" w:cs="Times New Roman"/>
          <w:color w:val="000000"/>
          <w:sz w:val="28"/>
          <w:szCs w:val="28"/>
        </w:rPr>
        <w:t>Общее количество детей, оздоровленных в лагерях с дневным пребыванием детей, составило 7 472 человек (АППГ-7284 человек).</w:t>
      </w:r>
      <w:bookmarkEnd w:id="41"/>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 xml:space="preserve">Оздоровительные лагеря с дневным пребыванием детей все три смены  </w:t>
      </w:r>
      <w:r>
        <w:rPr>
          <w:rFonts w:ascii="Times New Roman" w:eastAsia="Times New Roman" w:hAnsi="Times New Roman" w:cs="Times New Roman"/>
          <w:color w:val="000000"/>
          <w:spacing w:val="-6"/>
          <w:sz w:val="28"/>
          <w:szCs w:val="28"/>
        </w:rPr>
        <w:t xml:space="preserve">работали </w:t>
      </w:r>
      <w:r>
        <w:rPr>
          <w:rFonts w:ascii="Times New Roman" w:eastAsia="Times New Roman" w:hAnsi="Times New Roman" w:cs="Times New Roman"/>
          <w:color w:val="000000"/>
          <w:sz w:val="28"/>
          <w:szCs w:val="28"/>
        </w:rPr>
        <w:t>с 09.00 часов до 18.00 часов (08.00 часов до 17.00 часов по согласованию) с организацией трехразового питания (завтрак, обед, полдник)</w:t>
      </w:r>
      <w:r>
        <w:rPr>
          <w:rFonts w:ascii="Times New Roman" w:eastAsia="Times New Roman" w:hAnsi="Times New Roman" w:cs="Times New Roman"/>
          <w:color w:val="000000"/>
          <w:spacing w:val="-6"/>
          <w:sz w:val="28"/>
          <w:szCs w:val="28"/>
        </w:rPr>
        <w:t>.</w:t>
      </w:r>
    </w:p>
    <w:p w:rsidR="00B52DE3" w:rsidRDefault="00DE73E3">
      <w:pPr>
        <w:spacing w:after="0" w:line="360" w:lineRule="auto"/>
        <w:ind w:firstLine="720"/>
        <w:contextualSpacing/>
        <w:jc w:val="both"/>
        <w:rPr>
          <w:rFonts w:ascii="Times New Roman" w:hAnsi="Times New Roman" w:cs="Times New Roman"/>
        </w:rPr>
      </w:pPr>
      <w:r>
        <w:rPr>
          <w:rFonts w:ascii="Times New Roman" w:eastAsia="Times New Roman" w:hAnsi="Times New Roman" w:cs="Times New Roman"/>
          <w:sz w:val="28"/>
          <w:szCs w:val="28"/>
        </w:rPr>
        <w:t xml:space="preserve">Стоимость набора продуктов питания в детских оздоровительных лагерях с дневным пребыванием детей, организованных на базе муниципальных образовательных организаций в соответствии с постановлением администрации Приморского края </w:t>
      </w:r>
      <w:r>
        <w:rPr>
          <w:rFonts w:ascii="Times New Roman" w:eastAsia="Times New Roman" w:hAnsi="Times New Roman" w:cs="Times New Roman"/>
          <w:color w:val="000000"/>
          <w:sz w:val="28"/>
          <w:szCs w:val="28"/>
        </w:rPr>
        <w:t xml:space="preserve">от 25 декабря 2024 года  за № 928-пп </w:t>
      </w:r>
      <w:r>
        <w:rPr>
          <w:rFonts w:ascii="Times New Roman" w:eastAsia="Times New Roman" w:hAnsi="Times New Roman" w:cs="Times New Roman"/>
          <w:sz w:val="28"/>
          <w:szCs w:val="28"/>
        </w:rPr>
        <w:t>«Об установлении стоимости набора продуктов питания в детских оздоровительных лагерях с дневным пребыванием детей, организованных на базе краевых государственных учреждений, муниципальных образовательных организаций, в каникулярное время                         в 2025 году» составила:</w:t>
      </w:r>
    </w:p>
    <w:p w:rsidR="00B52DE3" w:rsidRDefault="00DE73E3">
      <w:pPr>
        <w:spacing w:after="0" w:line="360" w:lineRule="auto"/>
        <w:ind w:firstLine="720"/>
        <w:contextualSpacing/>
        <w:jc w:val="both"/>
        <w:rPr>
          <w:rFonts w:ascii="Times New Roman" w:hAnsi="Times New Roman" w:cs="Times New Roman"/>
        </w:rPr>
      </w:pPr>
      <w:r>
        <w:rPr>
          <w:rFonts w:ascii="Times New Roman" w:eastAsia="Times New Roman" w:hAnsi="Times New Roman" w:cs="Times New Roman"/>
          <w:sz w:val="28"/>
          <w:szCs w:val="28"/>
        </w:rPr>
        <w:t>для детей в возрасте от 6,5 до 10 лет при трехразовом питании - в размере 222,97 рубля в день на одного ребенка;</w:t>
      </w:r>
    </w:p>
    <w:p w:rsidR="00B52DE3" w:rsidRDefault="00DE73E3">
      <w:pPr>
        <w:spacing w:after="0" w:line="36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детей старше 10 лет и до 15 лет (включительно) при трехразовом питании - в размере 251,47 рубля в день на одного ребенка.</w:t>
      </w:r>
    </w:p>
    <w:p w:rsidR="00B52DE3" w:rsidRDefault="00DE73E3">
      <w:pPr>
        <w:spacing w:after="0" w:line="360" w:lineRule="auto"/>
        <w:ind w:firstLine="720"/>
        <w:contextualSpacing/>
        <w:jc w:val="both"/>
        <w:rPr>
          <w:rFonts w:ascii="Times New Roman" w:eastAsia="Times New Roman" w:hAnsi="Times New Roman" w:cs="Times New Roman"/>
          <w:color w:val="000000"/>
          <w:sz w:val="28"/>
          <w:szCs w:val="28"/>
        </w:rPr>
      </w:pPr>
      <w:bookmarkStart w:id="42" w:name="_Toc43"/>
      <w:r>
        <w:rPr>
          <w:rFonts w:ascii="Times New Roman" w:eastAsia="Times New Roman" w:hAnsi="Times New Roman" w:cs="Times New Roman"/>
          <w:color w:val="000000"/>
          <w:sz w:val="28"/>
          <w:szCs w:val="28"/>
        </w:rPr>
        <w:t xml:space="preserve">На базе 34 муниципальных образовательных организаций в летний период 2025 года было организовано 926 (АППГ - 611) временных рабочих мест. </w:t>
      </w:r>
    </w:p>
    <w:p w:rsidR="00B52DE3" w:rsidRDefault="00DE73E3">
      <w:pPr>
        <w:spacing w:after="0" w:line="360" w:lineRule="auto"/>
        <w:ind w:firstLine="720"/>
        <w:contextualSpacing/>
        <w:jc w:val="both"/>
        <w:rPr>
          <w:rFonts w:ascii="Times New Roman" w:hAnsi="Times New Roman" w:cs="Times New Roman"/>
        </w:rPr>
      </w:pPr>
      <w:bookmarkStart w:id="43" w:name="_Toc44"/>
      <w:bookmarkEnd w:id="42"/>
      <w:r>
        <w:rPr>
          <w:rFonts w:ascii="Times New Roman" w:eastAsia="Times New Roman" w:hAnsi="Times New Roman" w:cs="Times New Roman"/>
          <w:color w:val="000000"/>
          <w:sz w:val="28"/>
          <w:szCs w:val="28"/>
        </w:rPr>
        <w:t xml:space="preserve">17 июня 2025 года открылась первая смена в </w:t>
      </w:r>
      <w:r>
        <w:rPr>
          <w:rFonts w:ascii="Times New Roman" w:eastAsia="Times New Roman" w:hAnsi="Times New Roman" w:cs="Times New Roman"/>
          <w:sz w:val="28"/>
          <w:szCs w:val="28"/>
        </w:rPr>
        <w:t xml:space="preserve">загородном оздоровительном лагере, муниципального автономного учреждения детский оздоровительный лагерь «Надежда» (МАУ ДОЛ «Надежда»).  </w:t>
      </w:r>
      <w:bookmarkEnd w:id="43"/>
    </w:p>
    <w:p w:rsidR="00B52DE3" w:rsidRDefault="00DE73E3">
      <w:pPr>
        <w:spacing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themeColor="dark1"/>
          <w:sz w:val="28"/>
          <w:szCs w:val="28"/>
        </w:rPr>
        <w:lastRenderedPageBreak/>
        <w:t xml:space="preserve">В МАУ ДОЛ «Надежда» были организованы профильные смены для спортсменов, творчески одаренных детей, волонтеров, юнармейцев, детей участников СВО и других категорий детей. За отчетный период                                   в МАУ ДОЛ было оздоровлено 1400 человек (АППГ - 782 человек). </w:t>
      </w:r>
    </w:p>
    <w:p w:rsidR="00B52DE3" w:rsidRDefault="00DE73E3">
      <w:pPr>
        <w:pStyle w:val="2f6"/>
        <w:keepNext w:val="0"/>
        <w:ind w:left="0"/>
      </w:pPr>
      <w:bookmarkStart w:id="44" w:name="_Toc45"/>
      <w:r>
        <w:t>Организация безопасности образовательных учреждений</w:t>
      </w:r>
      <w:bookmarkEnd w:id="44"/>
    </w:p>
    <w:p w:rsidR="00B52DE3" w:rsidRDefault="00B52DE3">
      <w:pPr>
        <w:widowControl w:val="0"/>
        <w:spacing w:after="0" w:line="360" w:lineRule="auto"/>
        <w:jc w:val="center"/>
        <w:rPr>
          <w:rFonts w:ascii="Times New Roman" w:hAnsi="Times New Roman" w:cs="Times New Roman"/>
          <w:b/>
          <w:sz w:val="28"/>
          <w:szCs w:val="28"/>
        </w:rPr>
      </w:pPr>
    </w:p>
    <w:p w:rsidR="00B52DE3" w:rsidRDefault="00DE73E3">
      <w:pPr>
        <w:pStyle w:val="2f6"/>
        <w:keepNext w:val="0"/>
        <w:shd w:val="clear" w:color="auto" w:fill="FFFFFF"/>
        <w:spacing w:before="0"/>
        <w:ind w:left="0" w:firstLine="708"/>
        <w:jc w:val="both"/>
      </w:pPr>
      <w:bookmarkStart w:id="45" w:name="_Toc47"/>
      <w:r>
        <w:rPr>
          <w:b w:val="0"/>
          <w:bCs w:val="0"/>
        </w:rPr>
        <w:t>На территории Уссурийского городского округа расположены                      70 муниципальных общеобразовательных учреждения из них: 36-дошкольное образование, 30 - школы, 4 - дополнительного образования.</w:t>
      </w:r>
      <w:bookmarkEnd w:id="45"/>
    </w:p>
    <w:p w:rsidR="00B52DE3" w:rsidRDefault="00DE73E3">
      <w:pPr>
        <w:pStyle w:val="2f6"/>
        <w:keepNext w:val="0"/>
        <w:shd w:val="clear" w:color="auto" w:fill="FFFFFF"/>
        <w:spacing w:before="0"/>
        <w:ind w:left="0" w:firstLine="708"/>
        <w:jc w:val="both"/>
      </w:pPr>
      <w:bookmarkStart w:id="46" w:name="_Toc48"/>
      <w:r>
        <w:rPr>
          <w:b w:val="0"/>
          <w:bCs w:val="0"/>
        </w:rPr>
        <w:t>Все образовательные учреждения прошли категорирование, разработали и утвердили паспорта антитеррористической безопасности. Назначены должностные лица, ответственные за проведение мероприятий по обеспечению антитеррористической защищенности учреждений; разработаны планы эвакуации работников, обучающихся и иных лиц, находящихся в образовательном учреждении в случае получения информации об угрозе совершения или о совершении террористического акта.</w:t>
      </w:r>
      <w:bookmarkEnd w:id="46"/>
    </w:p>
    <w:p w:rsidR="00B52DE3" w:rsidRDefault="00DE73E3">
      <w:pPr>
        <w:pStyle w:val="2f6"/>
        <w:keepNext w:val="0"/>
        <w:shd w:val="clear" w:color="auto" w:fill="FFFFFF"/>
        <w:spacing w:before="0"/>
        <w:ind w:left="0" w:firstLine="708"/>
        <w:jc w:val="both"/>
      </w:pPr>
      <w:bookmarkStart w:id="47" w:name="_Toc49"/>
      <w:r>
        <w:rPr>
          <w:b w:val="0"/>
          <w:bCs w:val="0"/>
        </w:rPr>
        <w:t>В целях осуществления антитеррористической защищенности все учреждение образования оснащены:</w:t>
      </w:r>
      <w:bookmarkEnd w:id="47"/>
    </w:p>
    <w:p w:rsidR="00B52DE3" w:rsidRDefault="00DE73E3">
      <w:pPr>
        <w:pStyle w:val="2f6"/>
        <w:keepNext w:val="0"/>
        <w:shd w:val="clear" w:color="auto" w:fill="FFFFFF"/>
        <w:spacing w:before="0"/>
        <w:ind w:left="0" w:firstLine="708"/>
        <w:jc w:val="both"/>
      </w:pPr>
      <w:bookmarkStart w:id="48" w:name="_Toc50"/>
      <w:r>
        <w:rPr>
          <w:b w:val="0"/>
          <w:bCs w:val="0"/>
        </w:rPr>
        <w:t>системами передачи тревожных сообщений в подразделения войск национальной гвардии Российской Федерации и поддерживают их в исправном состоянии, время работы тревожной кнопки с 07:00 по 24:00, за исключением трех учреждений дополнительного образования: ДЮСШ с 08:00 по 20:00;СЮН с 08:30 по 18:00, ЦРТДЮ с 09:00 до 21:00;</w:t>
      </w:r>
      <w:bookmarkEnd w:id="48"/>
    </w:p>
    <w:p w:rsidR="00B52DE3" w:rsidRDefault="00DE73E3">
      <w:pPr>
        <w:pStyle w:val="2f6"/>
        <w:keepNext w:val="0"/>
        <w:shd w:val="clear" w:color="auto" w:fill="FFFFFF"/>
        <w:spacing w:before="0"/>
        <w:ind w:left="0" w:firstLine="708"/>
        <w:jc w:val="both"/>
      </w:pPr>
      <w:bookmarkStart w:id="49" w:name="_Toc51"/>
      <w:r>
        <w:rPr>
          <w:b w:val="0"/>
          <w:bCs w:val="0"/>
        </w:rPr>
        <w:t xml:space="preserve">школьные автобусы также оснащены системами передачи тревожных сообщений в подразделения войск национальной гвардии Российской </w:t>
      </w:r>
      <w:proofErr w:type="spellStart"/>
      <w:r>
        <w:rPr>
          <w:b w:val="0"/>
          <w:bCs w:val="0"/>
        </w:rPr>
        <w:t>Федерации;системами</w:t>
      </w:r>
      <w:proofErr w:type="spellEnd"/>
      <w:r>
        <w:rPr>
          <w:b w:val="0"/>
          <w:bCs w:val="0"/>
        </w:rPr>
        <w:t xml:space="preserve"> автоматической пожарной сигнализации и эвакуации из здания; системой внешнего видеонаблюдения с сохранностью данных                    </w:t>
      </w:r>
      <w:r>
        <w:rPr>
          <w:b w:val="0"/>
          <w:bCs w:val="0"/>
        </w:rPr>
        <w:lastRenderedPageBreak/>
        <w:t>30 дней; стационарными или ручными металлоискателями; турникетами.</w:t>
      </w:r>
      <w:bookmarkEnd w:id="49"/>
    </w:p>
    <w:p w:rsidR="00B52DE3" w:rsidRDefault="00DE73E3">
      <w:pPr>
        <w:pStyle w:val="2f6"/>
        <w:keepNext w:val="0"/>
        <w:shd w:val="clear" w:color="auto" w:fill="FFFFFF"/>
        <w:spacing w:before="0"/>
        <w:ind w:left="0"/>
        <w:jc w:val="left"/>
      </w:pPr>
      <w:bookmarkStart w:id="50" w:name="_Toc52"/>
      <w:r>
        <w:rPr>
          <w:b w:val="0"/>
          <w:bCs w:val="0"/>
        </w:rPr>
        <w:tab/>
        <w:t>Кроме этого:</w:t>
      </w:r>
      <w:bookmarkEnd w:id="50"/>
    </w:p>
    <w:p w:rsidR="00B52DE3" w:rsidRDefault="00DE73E3">
      <w:pPr>
        <w:pStyle w:val="2f6"/>
        <w:keepNext w:val="0"/>
        <w:shd w:val="clear" w:color="auto" w:fill="FFFFFF"/>
        <w:spacing w:before="0"/>
        <w:ind w:left="0" w:firstLine="708"/>
        <w:jc w:val="both"/>
        <w:rPr>
          <w:b w:val="0"/>
          <w:bCs w:val="0"/>
        </w:rPr>
      </w:pPr>
      <w:bookmarkStart w:id="51" w:name="_Toc53"/>
      <w:r>
        <w:rPr>
          <w:b w:val="0"/>
          <w:bCs w:val="0"/>
        </w:rPr>
        <w:t>заключены договоры на оказание услуг по охране с частными охранными организациями.</w:t>
      </w:r>
      <w:bookmarkEnd w:id="51"/>
    </w:p>
    <w:p w:rsidR="00B52DE3" w:rsidRDefault="00DE73E3">
      <w:pPr>
        <w:pStyle w:val="2f6"/>
        <w:keepNext w:val="0"/>
        <w:shd w:val="clear" w:color="auto" w:fill="FFFFFF"/>
        <w:spacing w:before="0"/>
        <w:ind w:left="0" w:firstLine="708"/>
        <w:jc w:val="both"/>
        <w:rPr>
          <w:b w:val="0"/>
          <w:bCs w:val="0"/>
        </w:rPr>
      </w:pPr>
      <w:bookmarkStart w:id="52" w:name="_Toc54"/>
      <w:r>
        <w:rPr>
          <w:b w:val="0"/>
          <w:bCs w:val="0"/>
        </w:rPr>
        <w:t>все обучающиеся  проходят в здание по карте школьника,</w:t>
      </w:r>
      <w:bookmarkEnd w:id="52"/>
    </w:p>
    <w:p w:rsidR="00B52DE3" w:rsidRDefault="00DE73E3">
      <w:pPr>
        <w:pStyle w:val="2f6"/>
        <w:keepNext w:val="0"/>
        <w:shd w:val="clear" w:color="auto" w:fill="FFFFFF"/>
        <w:spacing w:before="0"/>
        <w:ind w:left="0" w:firstLine="708"/>
        <w:jc w:val="both"/>
      </w:pPr>
      <w:bookmarkStart w:id="53" w:name="_Toc55"/>
      <w:r>
        <w:rPr>
          <w:b w:val="0"/>
          <w:bCs w:val="0"/>
        </w:rPr>
        <w:t>с работниками систематически проводятся практические занятия и инструктажи о порядке действий при обнаружении на территории посторонних лиц и подозрительных предметов, а также при угрозе совершения террористического акта;</w:t>
      </w:r>
      <w:bookmarkEnd w:id="53"/>
    </w:p>
    <w:p w:rsidR="00B52DE3" w:rsidRDefault="00DE73E3">
      <w:pPr>
        <w:pStyle w:val="2f6"/>
        <w:shd w:val="clear" w:color="auto" w:fill="FFFFFF"/>
        <w:spacing w:before="0"/>
        <w:ind w:left="0" w:firstLine="708"/>
        <w:jc w:val="both"/>
      </w:pPr>
      <w:bookmarkStart w:id="54" w:name="_Toc56"/>
      <w:r>
        <w:rPr>
          <w:b w:val="0"/>
          <w:bCs w:val="0"/>
        </w:rPr>
        <w:t>систематически проводится обход и осмотр зданий и территории, помещений систем подземных коммуникаций, стоянок транспорта, а также имеющихся складских помещений;</w:t>
      </w:r>
      <w:bookmarkEnd w:id="54"/>
    </w:p>
    <w:p w:rsidR="00B52DE3" w:rsidRDefault="00DE73E3">
      <w:pPr>
        <w:pStyle w:val="2f6"/>
        <w:shd w:val="clear" w:color="auto" w:fill="FFFFFF"/>
        <w:spacing w:before="0"/>
        <w:ind w:left="0" w:firstLine="708"/>
        <w:jc w:val="both"/>
      </w:pPr>
      <w:bookmarkStart w:id="55" w:name="_Toc57"/>
      <w:r>
        <w:rPr>
          <w:b w:val="0"/>
          <w:bCs w:val="0"/>
        </w:rPr>
        <w:t>один раз в полугодие в образовательных учреждениях проводятся совместные антитеррористические тренировки по эвакуации с приглашением силовых структур Уссурийского городского округа.</w:t>
      </w:r>
      <w:bookmarkEnd w:id="55"/>
    </w:p>
    <w:p w:rsidR="00B52DE3" w:rsidRDefault="00DE73E3">
      <w:pPr>
        <w:pStyle w:val="2f6"/>
        <w:keepNext w:val="0"/>
        <w:shd w:val="clear" w:color="auto" w:fill="FFFFFF"/>
        <w:spacing w:before="0"/>
        <w:ind w:left="0" w:firstLine="708"/>
        <w:jc w:val="both"/>
      </w:pPr>
      <w:bookmarkStart w:id="56" w:name="_Toc58"/>
      <w:r>
        <w:rPr>
          <w:b w:val="0"/>
          <w:bCs w:val="0"/>
        </w:rPr>
        <w:t>Исключено бесконтрольное пребывание на территории образовательных учреждений посторонних лиц и нахождения транспортных средств, в том числе в непосредственной близости от учреждения;</w:t>
      </w:r>
      <w:bookmarkEnd w:id="56"/>
    </w:p>
    <w:p w:rsidR="00B52DE3" w:rsidRDefault="00DE73E3">
      <w:pPr>
        <w:pStyle w:val="2f6"/>
        <w:keepNext w:val="0"/>
        <w:shd w:val="clear" w:color="auto" w:fill="FFFFFF"/>
        <w:spacing w:before="0"/>
        <w:ind w:left="0" w:firstLine="708"/>
        <w:jc w:val="both"/>
      </w:pPr>
      <w:bookmarkStart w:id="57" w:name="_Toc59"/>
      <w:r>
        <w:rPr>
          <w:b w:val="0"/>
          <w:bCs w:val="0"/>
        </w:rPr>
        <w:t>на стендах и сайтах образовательных учреждений размещена и систематически обновляется информация о порядке действия при обнаружении посторонних предметов, поступлении информации об угрозе совершения или о совершении террористических актов, а также план эвакуации при возникновении чрезвычайных ситуаций, номера телефонов аварийно-спасательных служб, территориальных органов безопасности и территориальных органов Федеральной службы войск национальной гвардии Российской Федерации.</w:t>
      </w:r>
      <w:bookmarkEnd w:id="57"/>
    </w:p>
    <w:p w:rsidR="00B52DE3" w:rsidRDefault="00B52DE3">
      <w:pPr>
        <w:pStyle w:val="2f6"/>
        <w:keepNext w:val="0"/>
        <w:shd w:val="clear" w:color="auto" w:fill="FFFFFF"/>
        <w:spacing w:before="0"/>
        <w:ind w:left="0" w:firstLine="708"/>
        <w:jc w:val="both"/>
      </w:pPr>
    </w:p>
    <w:p w:rsidR="00B52DE3" w:rsidRDefault="00DE73E3">
      <w:pPr>
        <w:pStyle w:val="2f6"/>
        <w:keepNext w:val="0"/>
        <w:spacing w:before="0"/>
        <w:ind w:left="0"/>
      </w:pPr>
      <w:bookmarkStart w:id="58" w:name="_Toc60"/>
      <w:r>
        <w:t>Финансирование образования</w:t>
      </w:r>
      <w:bookmarkEnd w:id="58"/>
    </w:p>
    <w:p w:rsidR="00B52DE3" w:rsidRDefault="00B52DE3">
      <w:pPr>
        <w:pStyle w:val="2f6"/>
        <w:keepNext w:val="0"/>
        <w:spacing w:before="0"/>
        <w:ind w:left="0"/>
      </w:pPr>
    </w:p>
    <w:p w:rsidR="00B52DE3" w:rsidRDefault="00DE73E3">
      <w:pPr>
        <w:pStyle w:val="aff8"/>
        <w:widowControl w:val="0"/>
        <w:spacing w:after="0" w:line="360" w:lineRule="auto"/>
        <w:ind w:firstLine="709"/>
        <w:jc w:val="both"/>
        <w:rPr>
          <w:color w:val="0F1115"/>
          <w:sz w:val="28"/>
          <w:szCs w:val="28"/>
        </w:rPr>
      </w:pPr>
      <w:r>
        <w:rPr>
          <w:color w:val="0F1115"/>
          <w:sz w:val="28"/>
          <w:szCs w:val="28"/>
        </w:rPr>
        <w:lastRenderedPageBreak/>
        <w:t>Образование в Уссурийском городском округе является приоритетным направлением развития и обеспечения социальной стабильности территории. В структуре бюджета общий объем финансирования образования и молодежной политики в 2025 году составил 6 563 513,04 тыс. рублей.</w:t>
      </w:r>
    </w:p>
    <w:p w:rsidR="00B52DE3" w:rsidRDefault="00DE73E3">
      <w:pPr>
        <w:pStyle w:val="aff8"/>
        <w:spacing w:after="0" w:line="360" w:lineRule="auto"/>
        <w:ind w:firstLine="709"/>
        <w:jc w:val="both"/>
        <w:rPr>
          <w:color w:val="0F1115"/>
          <w:sz w:val="28"/>
          <w:szCs w:val="28"/>
        </w:rPr>
      </w:pPr>
      <w:r>
        <w:rPr>
          <w:color w:val="0F1115"/>
          <w:sz w:val="28"/>
          <w:szCs w:val="28"/>
        </w:rPr>
        <w:t>Работа с бюджетом отрасли ведется в двух направлениях: формирование бюджета, ориентированного на результат, и повышение эффективности расходов.</w:t>
      </w:r>
    </w:p>
    <w:p w:rsidR="00B52DE3" w:rsidRDefault="00DE73E3">
      <w:pPr>
        <w:pStyle w:val="aff8"/>
        <w:spacing w:after="0" w:line="360" w:lineRule="auto"/>
        <w:ind w:firstLine="709"/>
        <w:jc w:val="both"/>
        <w:rPr>
          <w:color w:val="0F1115"/>
          <w:sz w:val="28"/>
          <w:szCs w:val="28"/>
        </w:rPr>
      </w:pPr>
      <w:r>
        <w:rPr>
          <w:color w:val="0F1115"/>
          <w:sz w:val="28"/>
          <w:szCs w:val="28"/>
        </w:rPr>
        <w:t>За счет средств краевого бюджета финансируется заработная плата работников общеобразовательных и дошкольных учреждений, осуществляющих реализацию образовательных программ, а также учебные расходы. Объем субвенции на дошкольные образовательные учреждения в 2025 году составил 1 030 908,30 тыс. рублей, на общеобразовательные учреждения – 1 870 139,40 тыс. рублей.</w:t>
      </w:r>
    </w:p>
    <w:p w:rsidR="00B52DE3" w:rsidRDefault="00DE73E3">
      <w:pPr>
        <w:pStyle w:val="aff8"/>
        <w:spacing w:after="0" w:line="360" w:lineRule="auto"/>
        <w:ind w:firstLine="709"/>
        <w:jc w:val="both"/>
        <w:rPr>
          <w:color w:val="0F1115"/>
          <w:sz w:val="28"/>
          <w:szCs w:val="28"/>
        </w:rPr>
      </w:pPr>
      <w:r>
        <w:rPr>
          <w:color w:val="0F1115"/>
          <w:sz w:val="28"/>
          <w:szCs w:val="28"/>
        </w:rPr>
        <w:t>Из местного бюджета на нужды учреждений дошкольного образования направлено 673 928,76 тыс. рублей, общеобразовательных учреждений –                 560 043,87 тыс. рублей. На дополнительное образование из местного бюджета направлено 235 664,20 тыс. рублей.</w:t>
      </w:r>
    </w:p>
    <w:p w:rsidR="00B52DE3" w:rsidRDefault="00DE73E3">
      <w:pPr>
        <w:pStyle w:val="2f6"/>
        <w:keepNext w:val="0"/>
        <w:spacing w:line="240" w:lineRule="auto"/>
        <w:ind w:left="0"/>
      </w:pPr>
      <w:bookmarkStart w:id="59" w:name="_Toc61"/>
      <w:r>
        <w:t xml:space="preserve"> Рост заработной платы работников образовательных </w:t>
      </w:r>
      <w:r w:rsidR="0094277C">
        <w:pict>
          <v:shape id="_x0000_s1031"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sidR="001A5B25">
        <w:pict>
          <v:shape id="_x0000_i1027" type="#_x0000_t75" style="width:1.5pt;height:1.5pt;mso-wrap-distance-left:0;mso-wrap-distance-top:0;mso-wrap-distance-right:0;mso-wrap-distance-bottom:0">
            <v:imagedata r:id="rId8" o:title=""/>
            <v:path textboxrect="0,0,0,0"/>
          </v:shape>
        </w:pict>
      </w:r>
      <w:r>
        <w:t xml:space="preserve">учреждений Уссурийского городского округа Приморского края </w:t>
      </w:r>
      <w:bookmarkEnd w:id="59"/>
    </w:p>
    <w:p w:rsidR="00B52DE3" w:rsidRDefault="00B52DE3">
      <w:pPr>
        <w:widowControl w:val="0"/>
        <w:spacing w:after="0" w:line="360" w:lineRule="auto"/>
        <w:ind w:left="2115" w:hanging="851"/>
        <w:rPr>
          <w:rFonts w:ascii="Times New Roman" w:hAnsi="Times New Roman" w:cs="Times New Roman"/>
          <w:b/>
          <w:sz w:val="28"/>
          <w:szCs w:val="28"/>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2025 году продолжалась работа по совершенствованию системы оплаты труда работников муниципальных образовательных учреждений, повышению стимулирующих функций оплаты труда и заинтересованности работников в конечных результатах труда. На особом контроле стоит исполнение Указов Президента Российской Федерации от 07 мая 2012 года № 597 «О мероприятиях по реализации государственной политики» и                        от 01 июня 2012 года № 761 «О национальной стратегии действий в интересах детей на 2012 – 2017 годы» в части увеличения заработной платы педагогическим работникам дошкольных образовательных учреждений и </w:t>
      </w:r>
      <w:r>
        <w:rPr>
          <w:rFonts w:ascii="Times New Roman" w:eastAsia="Times New Roman" w:hAnsi="Times New Roman" w:cs="Times New Roman"/>
          <w:sz w:val="28"/>
          <w:szCs w:val="28"/>
        </w:rPr>
        <w:lastRenderedPageBreak/>
        <w:t>учреждений дополнительного образования детей. Средняя заработная плата за 2025 год педагогических работников дошкольных учреждений составила 78297,14</w:t>
      </w:r>
      <w:r>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rPr>
        <w:t>рублей при плане 74715,90 рублей, средняя заработная плата педагогических работников общеобразовательных учреждений составила 78796,38 рублей при плане 76469,30 рублей, средняя заработная плата педагогов учреждений дополнительного образования составила                        80668,79 рублей при план 76469,30 рублей.</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pStyle w:val="2f6"/>
        <w:keepNext w:val="0"/>
        <w:spacing w:before="0"/>
        <w:ind w:left="0"/>
      </w:pPr>
      <w:bookmarkStart w:id="60" w:name="_Toc62"/>
      <w:r>
        <w:t>Совершенствование инфраструктуры в сфере образования</w:t>
      </w:r>
      <w:r w:rsidR="0094277C">
        <w:pict>
          <v:shape id="_x0000_s1029" type="#_x0000_t75" style="position:absolute;left:0;text-align:left;margin-left:0;margin-top:0;width:50pt;height:50pt;z-index:251659776;visibility:hidden;mso-position-horizontal-relative:text;mso-position-vertical-relative:text" filled="t" stroked="t">
            <v:stroke joinstyle="round"/>
            <v:path o:extrusionok="t" gradientshapeok="f" o:connecttype="segments"/>
            <o:lock v:ext="edit" aspectratio="f" selection="t"/>
          </v:shape>
        </w:pict>
      </w:r>
      <w:r w:rsidR="001A5B25">
        <w:pict>
          <v:shape id="_x0000_i1028" type="#_x0000_t75" style="width:1.5pt;height:2pt;mso-wrap-distance-left:0;mso-wrap-distance-top:0;mso-wrap-distance-right:0;mso-wrap-distance-bottom:0">
            <v:imagedata r:id="rId9" o:title=""/>
            <v:path textboxrect="0,0,0,0"/>
          </v:shape>
        </w:pict>
      </w:r>
      <w:bookmarkEnd w:id="60"/>
    </w:p>
    <w:p w:rsidR="00B52DE3" w:rsidRDefault="00B52DE3">
      <w:pPr>
        <w:pStyle w:val="2f6"/>
        <w:keepNext w:val="0"/>
        <w:spacing w:before="0"/>
        <w:ind w:left="0"/>
      </w:pPr>
    </w:p>
    <w:p w:rsidR="00B52DE3" w:rsidRDefault="00DE73E3">
      <w:pPr>
        <w:pStyle w:val="2f6"/>
        <w:keepNext w:val="0"/>
        <w:spacing w:before="0"/>
        <w:ind w:left="0" w:firstLine="709"/>
        <w:jc w:val="both"/>
      </w:pPr>
      <w:bookmarkStart w:id="61" w:name="_Toc63"/>
      <w:r>
        <w:rPr>
          <w:b w:val="0"/>
          <w:bCs w:val="0"/>
          <w:color w:val="000000" w:themeColor="dark1"/>
        </w:rPr>
        <w:t>Реализуются следующие мероприятия:</w:t>
      </w:r>
      <w:bookmarkEnd w:id="61"/>
    </w:p>
    <w:p w:rsidR="00B52DE3" w:rsidRDefault="00DE73E3">
      <w:pPr>
        <w:pStyle w:val="2f6"/>
        <w:keepNext w:val="0"/>
        <w:spacing w:before="0"/>
        <w:ind w:left="0" w:firstLine="709"/>
        <w:jc w:val="both"/>
      </w:pPr>
      <w:bookmarkStart w:id="62" w:name="_Toc64"/>
      <w:r>
        <w:rPr>
          <w:b w:val="0"/>
          <w:bCs w:val="0"/>
          <w:color w:val="000000" w:themeColor="dark1"/>
        </w:rPr>
        <w:t xml:space="preserve">строительство школы по ул. Выгонная, 16. Контракт на сумму                                   </w:t>
      </w:r>
      <w:r>
        <w:rPr>
          <w:b w:val="0"/>
          <w:bCs w:val="0"/>
        </w:rPr>
        <w:t>2 675 619 883,79 рублей.</w:t>
      </w:r>
      <w:bookmarkEnd w:id="62"/>
    </w:p>
    <w:p w:rsidR="00B52DE3" w:rsidRDefault="00DE73E3">
      <w:pPr>
        <w:pStyle w:val="2f6"/>
        <w:keepNext w:val="0"/>
        <w:spacing w:before="0"/>
        <w:ind w:left="0" w:firstLine="709"/>
        <w:jc w:val="both"/>
      </w:pPr>
      <w:bookmarkStart w:id="63" w:name="_Toc65"/>
      <w:r>
        <w:rPr>
          <w:b w:val="0"/>
          <w:bCs w:val="0"/>
          <w:color w:val="000000" w:themeColor="dark1"/>
        </w:rPr>
        <w:t xml:space="preserve">Реконструкция здания с пристройкой нового учебного корпуса МБОУ ВСОШ № 1 с. Воздвиженка.  Контракт на сумму 1 350 798 639,62 рублей. </w:t>
      </w:r>
      <w:bookmarkEnd w:id="63"/>
    </w:p>
    <w:p w:rsidR="00B52DE3" w:rsidRDefault="00DE73E3">
      <w:pPr>
        <w:pStyle w:val="2f6"/>
        <w:keepNext w:val="0"/>
        <w:spacing w:before="0"/>
        <w:ind w:left="0" w:firstLine="709"/>
        <w:jc w:val="both"/>
      </w:pPr>
      <w:bookmarkStart w:id="64" w:name="_Toc66"/>
      <w:r>
        <w:rPr>
          <w:b w:val="0"/>
          <w:bCs w:val="0"/>
          <w:color w:val="000000" w:themeColor="dark1"/>
        </w:rPr>
        <w:t xml:space="preserve">Капитальный ремонт здания МБОУ ООШ № 134. Контракт на сумму </w:t>
      </w:r>
      <w:r>
        <w:rPr>
          <w:b w:val="0"/>
          <w:bCs w:val="0"/>
          <w:color w:val="000000" w:themeColor="dark1"/>
        </w:rPr>
        <w:br/>
      </w:r>
      <w:r>
        <w:rPr>
          <w:b w:val="0"/>
          <w:bCs w:val="0"/>
        </w:rPr>
        <w:t>81 367 675,10 рублей.</w:t>
      </w:r>
      <w:bookmarkEnd w:id="64"/>
    </w:p>
    <w:p w:rsidR="00B52DE3" w:rsidRDefault="00DE73E3">
      <w:pPr>
        <w:pStyle w:val="2f6"/>
        <w:keepNext w:val="0"/>
        <w:spacing w:before="0"/>
        <w:ind w:left="0" w:firstLine="709"/>
        <w:jc w:val="both"/>
      </w:pPr>
      <w:bookmarkStart w:id="65" w:name="_Toc67"/>
      <w:r>
        <w:rPr>
          <w:b w:val="0"/>
          <w:bCs w:val="0"/>
          <w:color w:val="000000" w:themeColor="dark1"/>
        </w:rPr>
        <w:t xml:space="preserve">В 2025 году в 15 общеобразовательных организациях завершены капитальные ремонты: МБОУ «Гимназия № 29» – капитальный ремонт пищеблока; МБОУ СОШ с. Воздвиженка – капитальный ремонт пищеблока; МБОУ СОШ № 4 – капитальный ремонт устройства </w:t>
      </w:r>
      <w:proofErr w:type="spellStart"/>
      <w:r>
        <w:rPr>
          <w:b w:val="0"/>
          <w:bCs w:val="0"/>
          <w:color w:val="000000" w:themeColor="dark1"/>
        </w:rPr>
        <w:t>отмостки</w:t>
      </w:r>
      <w:proofErr w:type="spellEnd"/>
      <w:r>
        <w:rPr>
          <w:b w:val="0"/>
          <w:bCs w:val="0"/>
          <w:color w:val="000000" w:themeColor="dark1"/>
        </w:rPr>
        <w:t xml:space="preserve">, устройства системы отвода ливневых вод и благоустройство; МБОУ СОШ № 22 – капитальный ремонт 1 этажа, благоустройство; МБОУ ОСОШ № 2 – капитальный ремонт вентиляции и кровли пристройки здания; МБОУ СОШ № 8 – капитальный ремонт кровли; МБОУ СОШ № 16 – капитальный ремонт кровли; МБОУ СОШ № 24 – капитальный ремонт кровли, капитальный ремонт полов мастерских; МБОУ СОШ № 28 – капитальный ремонт покрытия стадиона и ограждение; МБОУ СОШ № 30 – капитальный ремонт пищеблока; МБОУ СОШ № 31 – капитальный ремонт кровли, капитальный </w:t>
      </w:r>
      <w:r>
        <w:rPr>
          <w:b w:val="0"/>
          <w:bCs w:val="0"/>
          <w:color w:val="000000" w:themeColor="dark1"/>
        </w:rPr>
        <w:lastRenderedPageBreak/>
        <w:t xml:space="preserve">ремонт </w:t>
      </w:r>
      <w:proofErr w:type="spellStart"/>
      <w:r>
        <w:rPr>
          <w:b w:val="0"/>
          <w:bCs w:val="0"/>
          <w:color w:val="000000" w:themeColor="dark1"/>
        </w:rPr>
        <w:t>отмостки</w:t>
      </w:r>
      <w:proofErr w:type="spellEnd"/>
      <w:r>
        <w:rPr>
          <w:b w:val="0"/>
          <w:bCs w:val="0"/>
          <w:color w:val="000000" w:themeColor="dark1"/>
        </w:rPr>
        <w:t xml:space="preserve"> фундамента; МБОУ «Гимназия № 133» – капитальный ремонт кровли; МБОУ СОШ с. </w:t>
      </w:r>
      <w:proofErr w:type="spellStart"/>
      <w:r>
        <w:rPr>
          <w:b w:val="0"/>
          <w:bCs w:val="0"/>
          <w:color w:val="000000" w:themeColor="dark1"/>
        </w:rPr>
        <w:t>Новоникольск</w:t>
      </w:r>
      <w:proofErr w:type="spellEnd"/>
      <w:r>
        <w:rPr>
          <w:b w:val="0"/>
          <w:bCs w:val="0"/>
          <w:color w:val="000000" w:themeColor="dark1"/>
        </w:rPr>
        <w:t xml:space="preserve"> – капитальный ремонт кровли, капитальный ремонт  полов 1 этажа здания, МБОУ СОШ с.Красный Яр – капитальный ремонт пищеблока, капитальный ремонт кровли здания, капитальный ремонт крылец; МБОУ СОШ с.Степное – капитальный ремонт пищеблока, капитальный ремонт </w:t>
      </w:r>
      <w:proofErr w:type="spellStart"/>
      <w:r>
        <w:rPr>
          <w:b w:val="0"/>
          <w:bCs w:val="0"/>
          <w:color w:val="000000" w:themeColor="dark1"/>
        </w:rPr>
        <w:t>отмостки</w:t>
      </w:r>
      <w:proofErr w:type="spellEnd"/>
      <w:r>
        <w:rPr>
          <w:b w:val="0"/>
          <w:bCs w:val="0"/>
          <w:color w:val="000000" w:themeColor="dark1"/>
        </w:rPr>
        <w:t xml:space="preserve"> фундамента.</w:t>
      </w:r>
      <w:bookmarkEnd w:id="65"/>
    </w:p>
    <w:p w:rsidR="00B52DE3" w:rsidRDefault="00DE73E3">
      <w:pPr>
        <w:pStyle w:val="2f6"/>
        <w:keepNext w:val="0"/>
        <w:spacing w:before="0"/>
        <w:ind w:left="0" w:firstLine="709"/>
        <w:jc w:val="both"/>
      </w:pPr>
      <w:bookmarkStart w:id="66" w:name="_Toc68"/>
      <w:r>
        <w:rPr>
          <w:b w:val="0"/>
          <w:bCs w:val="0"/>
        </w:rPr>
        <w:t>Общая сумма расходов по капитальным ремонтам общеобразовательных организаций составляет 314 414 632,78 рублей.</w:t>
      </w:r>
      <w:bookmarkEnd w:id="66"/>
    </w:p>
    <w:p w:rsidR="00B52DE3" w:rsidRDefault="00DE73E3">
      <w:pPr>
        <w:pStyle w:val="2f6"/>
        <w:keepNext w:val="0"/>
        <w:spacing w:before="0"/>
        <w:ind w:left="0" w:firstLine="709"/>
        <w:jc w:val="both"/>
      </w:pPr>
      <w:bookmarkStart w:id="67" w:name="_Toc69"/>
      <w:r>
        <w:rPr>
          <w:b w:val="0"/>
          <w:bCs w:val="0"/>
        </w:rPr>
        <w:t>Завершено мероприятие «Модернизация школьных систем образования», в рамках которого осуществлялся капитальный ремонт МБОУ СОШ № 22 (2 этаж) и приобретение оборудования.</w:t>
      </w:r>
      <w:bookmarkEnd w:id="67"/>
    </w:p>
    <w:p w:rsidR="00B52DE3" w:rsidRDefault="00DE73E3">
      <w:pPr>
        <w:pStyle w:val="2f6"/>
        <w:keepNext w:val="0"/>
        <w:spacing w:before="0"/>
        <w:ind w:left="0" w:firstLine="709"/>
        <w:jc w:val="both"/>
      </w:pPr>
      <w:bookmarkStart w:id="68" w:name="_Toc70"/>
      <w:r>
        <w:rPr>
          <w:b w:val="0"/>
          <w:bCs w:val="0"/>
          <w:color w:val="000000" w:themeColor="dark1"/>
        </w:rPr>
        <w:t xml:space="preserve">Строительство детского сада на 220 мест по ул. Выгонная, 1а в г.Уссурийске. Контракт на сумму </w:t>
      </w:r>
      <w:r>
        <w:rPr>
          <w:b w:val="0"/>
          <w:bCs w:val="0"/>
          <w:color w:val="000000" w:themeColor="dark1"/>
          <w:sz w:val="29"/>
        </w:rPr>
        <w:t>440 942 028,84 рублей.</w:t>
      </w:r>
      <w:bookmarkEnd w:id="68"/>
    </w:p>
    <w:p w:rsidR="00B52DE3" w:rsidRDefault="00DE73E3">
      <w:pPr>
        <w:pStyle w:val="2f6"/>
        <w:keepNext w:val="0"/>
        <w:spacing w:before="0"/>
        <w:ind w:left="0" w:firstLine="709"/>
        <w:jc w:val="both"/>
      </w:pPr>
      <w:bookmarkStart w:id="69" w:name="_Toc71"/>
      <w:r>
        <w:rPr>
          <w:b w:val="0"/>
          <w:bCs w:val="0"/>
        </w:rPr>
        <w:t>Строительство детского сада по ул. Выгонная, 20 в г. Уссурийске. Контракт на сумму 706 463 519,08 рублей.</w:t>
      </w:r>
      <w:bookmarkEnd w:id="69"/>
    </w:p>
    <w:p w:rsidR="00B52DE3" w:rsidRDefault="00DE73E3">
      <w:pPr>
        <w:pStyle w:val="2f6"/>
        <w:keepNext w:val="0"/>
        <w:spacing w:before="0"/>
        <w:ind w:left="0" w:firstLine="709"/>
        <w:jc w:val="both"/>
      </w:pPr>
      <w:bookmarkStart w:id="70" w:name="_Toc72"/>
      <w:r>
        <w:rPr>
          <w:b w:val="0"/>
          <w:bCs w:val="0"/>
        </w:rPr>
        <w:t>Строительство детского сада по ул. Московская в г. Уссурийске. Контракт на сумму 714 537 387,88 рублей.</w:t>
      </w:r>
      <w:bookmarkEnd w:id="70"/>
    </w:p>
    <w:p w:rsidR="00B52DE3" w:rsidRDefault="00DE73E3">
      <w:pPr>
        <w:pStyle w:val="2f6"/>
        <w:keepNext w:val="0"/>
        <w:spacing w:before="0"/>
        <w:ind w:left="0" w:firstLine="709"/>
        <w:jc w:val="both"/>
      </w:pPr>
      <w:bookmarkStart w:id="71" w:name="_Toc73"/>
      <w:r>
        <w:rPr>
          <w:b w:val="0"/>
          <w:bCs w:val="0"/>
        </w:rPr>
        <w:t>Завершены работы по капитальному ремонту следующих детских садов: МАДОУ «Детский сад № 6», МБДОУ «Детский сад № 27», МБДОУ «Детский сад № 36».</w:t>
      </w:r>
      <w:bookmarkEnd w:id="71"/>
    </w:p>
    <w:p w:rsidR="00B52DE3" w:rsidRDefault="00DE73E3">
      <w:pPr>
        <w:pStyle w:val="2f6"/>
        <w:keepNext w:val="0"/>
        <w:spacing w:before="0"/>
        <w:ind w:left="0" w:firstLine="709"/>
        <w:jc w:val="both"/>
      </w:pPr>
      <w:bookmarkStart w:id="72" w:name="_Toc74"/>
      <w:r>
        <w:rPr>
          <w:b w:val="0"/>
          <w:bCs w:val="0"/>
        </w:rPr>
        <w:t>Общая сумма расходов по капитальным ремонтам дошкольных организаций составляет 86 185 996,23 рублей.</w:t>
      </w:r>
      <w:bookmarkEnd w:id="72"/>
    </w:p>
    <w:p w:rsidR="00B52DE3" w:rsidRDefault="00DE73E3">
      <w:pPr>
        <w:pStyle w:val="2f6"/>
        <w:keepNext w:val="0"/>
        <w:spacing w:before="0"/>
        <w:ind w:left="0" w:firstLine="709"/>
        <w:jc w:val="both"/>
      </w:pPr>
      <w:bookmarkStart w:id="73" w:name="_Toc75"/>
      <w:r>
        <w:rPr>
          <w:b w:val="0"/>
          <w:bCs w:val="0"/>
        </w:rPr>
        <w:t xml:space="preserve">Выполнены работы в рамках реализации проекта инициативного  </w:t>
      </w:r>
      <w:proofErr w:type="spellStart"/>
      <w:r>
        <w:rPr>
          <w:b w:val="0"/>
          <w:bCs w:val="0"/>
        </w:rPr>
        <w:t>бюджетирования</w:t>
      </w:r>
      <w:proofErr w:type="spellEnd"/>
      <w:r>
        <w:rPr>
          <w:b w:val="0"/>
          <w:bCs w:val="0"/>
        </w:rPr>
        <w:t xml:space="preserve"> «Твой проект» – на 4 объектах общеобразовательных учреждений благоустроены, заасфальтированы и установлены спортивные площадки. Выполнены работы в рамках реализации «Молодежного проекта»  – на 4 объектах общеобразовательных учреждений благоустроены, заасфальтированы и установлены спортивные площадки </w:t>
      </w:r>
      <w:bookmarkEnd w:id="73"/>
    </w:p>
    <w:p w:rsidR="00B52DE3" w:rsidRDefault="00DE73E3">
      <w:pPr>
        <w:widowControl w:val="0"/>
        <w:shd w:val="clear" w:color="auto" w:fill="FFFFFF"/>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 xml:space="preserve">В 2025 году в дошкольных образовательных учреждениях проведены </w:t>
      </w:r>
      <w:r>
        <w:rPr>
          <w:rFonts w:ascii="Times New Roman" w:eastAsia="Times New Roman" w:hAnsi="Times New Roman" w:cs="Times New Roman"/>
          <w:color w:val="000000"/>
          <w:sz w:val="28"/>
          <w:szCs w:val="28"/>
        </w:rPr>
        <w:lastRenderedPageBreak/>
        <w:t>следующие ремонтные работы: МАДОУ № 6 - работы по благоустройству территории (снос деревьев), МБДОУ № 19 - ремонт электрооборудования , МБДОУ № 22 - проведение строительно-технической экспертизы для составления заключения в результате исследования трещины в несущей стене пристройки основного здания, МБДОУ № 38 - ремонт лестничных пролетов, МБДОУ№ 57 - ремонт системы вентиляции в пищеблоке, МБДОУ № 69 - ремонт системы канализации и водоснабжения, ремонт кровли здания склада, МБДОУ № 106 -ремонт крыльца, МБДОУ № 247 - ремонт системы холодного водоснабжения, МБДОУ № 30 с.Борисовка - проведение строительно-технической экспертизы инженерных систем - канализации и холодного водоснабжения.</w:t>
      </w:r>
      <w:r>
        <w:rPr>
          <w:rFonts w:ascii="Times New Roman" w:eastAsia="Times New Roman" w:hAnsi="Times New Roman" w:cs="Times New Roman"/>
        </w:rPr>
        <w:t xml:space="preserve"> </w:t>
      </w:r>
      <w:r>
        <w:rPr>
          <w:rFonts w:ascii="Times New Roman" w:eastAsia="Times New Roman" w:hAnsi="Times New Roman" w:cs="Times New Roman"/>
          <w:color w:val="000000"/>
          <w:sz w:val="28"/>
          <w:szCs w:val="28"/>
        </w:rPr>
        <w:t>Общая сумма расходов по дошкольным организациям составляет 1 470 852,83 рублей.</w:t>
      </w:r>
    </w:p>
    <w:p w:rsidR="00B52DE3" w:rsidRDefault="00DE73E3">
      <w:pPr>
        <w:widowControl w:val="0"/>
        <w:shd w:val="clear" w:color="auto" w:fill="FFFFFF"/>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В 2025 году в общеобразовательных учреждениях проведены следующие ремонтные работы: МБОУ СОШ № 3 - ремонт кровли, ремонт полов спортивного</w:t>
      </w:r>
      <w:r>
        <w:rPr>
          <w:rFonts w:ascii="Times New Roman" w:eastAsia="Times New Roman" w:hAnsi="Times New Roman" w:cs="Times New Roman"/>
          <w:color w:val="FFFFFF" w:themeColor="light1"/>
          <w:sz w:val="28"/>
          <w:szCs w:val="28"/>
        </w:rPr>
        <w:t xml:space="preserve"> </w:t>
      </w:r>
      <w:r>
        <w:rPr>
          <w:rFonts w:ascii="Times New Roman" w:eastAsia="Times New Roman" w:hAnsi="Times New Roman" w:cs="Times New Roman"/>
          <w:color w:val="000000"/>
          <w:sz w:val="28"/>
          <w:szCs w:val="28"/>
        </w:rPr>
        <w:t>зала, выполнение работ по замене входной двери в спортивном зале, МБОУ СОШ № 16 -  ремонт стен и потолков в помещениях мастерских, МБОУ СОШ № 22 -работы по устройству асфальтового покрытия части территории школы, МБОУ СОШ № 28 - благоустройство территории школы  (снос аварийных деревьев, санитарная и омолаживающая обрезка деревьев), МБОУ СОШ № 30 - ремонт сцены, расположенной в помещении пищеблока школы, МБОУ СОШ с. Воздвиженка - ремонт кровли над пищеблоком. Проводятся работы по капитальному ремонту МБОУ ООШ № 134.</w:t>
      </w:r>
    </w:p>
    <w:p w:rsidR="00B52DE3" w:rsidRDefault="00DE73E3">
      <w:pPr>
        <w:widowControl w:val="0"/>
        <w:shd w:val="clear" w:color="auto" w:fill="FFFFFF"/>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 xml:space="preserve">Выполнены работы в рамках реализации проекта инициативного  </w:t>
      </w:r>
      <w:proofErr w:type="spellStart"/>
      <w:r>
        <w:rPr>
          <w:rFonts w:ascii="Times New Roman" w:eastAsia="Times New Roman" w:hAnsi="Times New Roman" w:cs="Times New Roman"/>
          <w:color w:val="000000"/>
          <w:sz w:val="28"/>
          <w:szCs w:val="28"/>
        </w:rPr>
        <w:t>бюджетирования</w:t>
      </w:r>
      <w:proofErr w:type="spellEnd"/>
      <w:r>
        <w:rPr>
          <w:rFonts w:ascii="Times New Roman" w:eastAsia="Times New Roman" w:hAnsi="Times New Roman" w:cs="Times New Roman"/>
          <w:color w:val="000000"/>
          <w:sz w:val="28"/>
          <w:szCs w:val="28"/>
        </w:rPr>
        <w:t xml:space="preserve"> «Твой проект» – на 3 объектах общеобразовательных учреждений благоустроены, заасфальтированы и установлены спортивные площадки. Выполнены работы в рамках реализации «Молодежного проекта»  – на 4 объектах общеобразовательных учреждений благоустроены, заасфальтированы и установлены спортивные площадки.</w:t>
      </w:r>
    </w:p>
    <w:p w:rsidR="00B52DE3" w:rsidRDefault="00DE73E3">
      <w:pPr>
        <w:widowControl w:val="0"/>
        <w:spacing w:line="360" w:lineRule="auto"/>
        <w:jc w:val="center"/>
        <w:rPr>
          <w:rFonts w:ascii="Times New Roman" w:hAnsi="Times New Roman" w:cs="Times New Roman"/>
        </w:rPr>
      </w:pPr>
      <w:r>
        <w:rPr>
          <w:rFonts w:ascii="Times New Roman" w:eastAsia="Times New Roman" w:hAnsi="Times New Roman" w:cs="Times New Roman"/>
          <w:b/>
          <w:bCs/>
          <w:color w:val="000000"/>
          <w:sz w:val="28"/>
          <w:szCs w:val="28"/>
        </w:rPr>
        <w:lastRenderedPageBreak/>
        <w:t>Приобретение оборудования и инвентаря</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Санитарно – эпидемиологические требования к организациям воспитания и обучения регулярно меняют и дополняют. Цель обновленных правил – сделать пребывание и обучение детей в образовательном учреждении максимально комфортным и безопасным, способствующим реализации современных образовательных программ.</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В 2025 году образовательными учреждениями было приобретено:</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 xml:space="preserve">дошкольными образовательными учреждениями на сумму 6 266 715,50 рублей – малые архитектурные формы на игровые площадки МБДОУ № 69; для оснащения пищеблоков шкаф холодильный, водонагреватель в МБДОУ № 5; плита электрическая в МБДОУ № 32; мясорубка, полка –стеллаж в МБДОУ № 57; плита электрическая, миксер, </w:t>
      </w:r>
      <w:proofErr w:type="spellStart"/>
      <w:r>
        <w:rPr>
          <w:rFonts w:ascii="Times New Roman" w:eastAsia="Times New Roman" w:hAnsi="Times New Roman" w:cs="Times New Roman"/>
          <w:bCs/>
          <w:color w:val="000000"/>
          <w:sz w:val="28"/>
          <w:szCs w:val="28"/>
        </w:rPr>
        <w:t>электротерка</w:t>
      </w:r>
      <w:proofErr w:type="spellEnd"/>
      <w:r>
        <w:rPr>
          <w:rFonts w:ascii="Times New Roman" w:eastAsia="Times New Roman" w:hAnsi="Times New Roman" w:cs="Times New Roman"/>
          <w:bCs/>
          <w:color w:val="000000"/>
          <w:sz w:val="28"/>
          <w:szCs w:val="28"/>
        </w:rPr>
        <w:t xml:space="preserve"> в МБДОУ № 8                     с. </w:t>
      </w:r>
      <w:proofErr w:type="spellStart"/>
      <w:r>
        <w:rPr>
          <w:rFonts w:ascii="Times New Roman" w:eastAsia="Times New Roman" w:hAnsi="Times New Roman" w:cs="Times New Roman"/>
          <w:bCs/>
          <w:color w:val="000000"/>
          <w:sz w:val="28"/>
          <w:szCs w:val="28"/>
        </w:rPr>
        <w:t>Корсаковка</w:t>
      </w:r>
      <w:proofErr w:type="spellEnd"/>
      <w:r>
        <w:rPr>
          <w:rFonts w:ascii="Times New Roman" w:eastAsia="Times New Roman" w:hAnsi="Times New Roman" w:cs="Times New Roman"/>
          <w:bCs/>
          <w:color w:val="000000"/>
          <w:sz w:val="28"/>
          <w:szCs w:val="28"/>
        </w:rPr>
        <w:t>; весы в МБДОУ № 26 с.Степное; мясорубка в МБДОУ № 30                    с. Борисовка;</w:t>
      </w:r>
      <w:r>
        <w:rPr>
          <w:rFonts w:ascii="Times New Roman" w:eastAsia="Times New Roman" w:hAnsi="Times New Roman" w:cs="Times New Roman"/>
          <w:i/>
          <w:sz w:val="24"/>
          <w:szCs w:val="24"/>
        </w:rPr>
        <w:t xml:space="preserve"> </w:t>
      </w:r>
      <w:r>
        <w:rPr>
          <w:rFonts w:ascii="Times New Roman" w:eastAsia="Times New Roman" w:hAnsi="Times New Roman" w:cs="Times New Roman"/>
          <w:bCs/>
          <w:color w:val="000000"/>
          <w:sz w:val="28"/>
          <w:szCs w:val="28"/>
        </w:rPr>
        <w:t xml:space="preserve">приобретены холодильники на склад хранения продуктов в МБДОУ № 106, МБДОУ № 13 </w:t>
      </w:r>
      <w:proofErr w:type="spellStart"/>
      <w:r>
        <w:rPr>
          <w:rFonts w:ascii="Times New Roman" w:eastAsia="Times New Roman" w:hAnsi="Times New Roman" w:cs="Times New Roman"/>
          <w:bCs/>
          <w:color w:val="000000"/>
          <w:sz w:val="28"/>
          <w:szCs w:val="28"/>
        </w:rPr>
        <w:t>с.Раковки</w:t>
      </w:r>
      <w:proofErr w:type="spellEnd"/>
      <w:r>
        <w:rPr>
          <w:rFonts w:ascii="Times New Roman" w:eastAsia="Times New Roman" w:hAnsi="Times New Roman" w:cs="Times New Roman"/>
          <w:bCs/>
          <w:color w:val="000000"/>
          <w:sz w:val="28"/>
          <w:szCs w:val="28"/>
        </w:rPr>
        <w:t xml:space="preserve">; оснащены групповые помещения МБДОУ № 27 и МБДОУ № 36 (приобретены машины посудомоечные, пылесосы, кондиционеры); приобретен мягкий инвентарь (постельное белье, матрацы, полотенца, одеяла, подушки, </w:t>
      </w:r>
      <w:proofErr w:type="spellStart"/>
      <w:r>
        <w:rPr>
          <w:rFonts w:ascii="Times New Roman" w:eastAsia="Times New Roman" w:hAnsi="Times New Roman" w:cs="Times New Roman"/>
          <w:bCs/>
          <w:color w:val="000000"/>
          <w:sz w:val="28"/>
          <w:szCs w:val="28"/>
        </w:rPr>
        <w:t>наматрацники</w:t>
      </w:r>
      <w:proofErr w:type="spellEnd"/>
      <w:r>
        <w:rPr>
          <w:rFonts w:ascii="Times New Roman" w:eastAsia="Times New Roman" w:hAnsi="Times New Roman" w:cs="Times New Roman"/>
          <w:bCs/>
          <w:color w:val="000000"/>
          <w:sz w:val="28"/>
          <w:szCs w:val="28"/>
        </w:rPr>
        <w:t xml:space="preserve">) в МБДОУ №№ 4, 5, 8, 10, 19, 20, 21, 22, 32, 35, 39, 40, 57, 67, 69, 106, 247, 8 с. </w:t>
      </w:r>
      <w:proofErr w:type="spellStart"/>
      <w:r>
        <w:rPr>
          <w:rFonts w:ascii="Times New Roman" w:eastAsia="Times New Roman" w:hAnsi="Times New Roman" w:cs="Times New Roman"/>
          <w:bCs/>
          <w:color w:val="000000"/>
          <w:sz w:val="28"/>
          <w:szCs w:val="28"/>
        </w:rPr>
        <w:t>Корсаковка</w:t>
      </w:r>
      <w:proofErr w:type="spellEnd"/>
      <w:r>
        <w:rPr>
          <w:rFonts w:ascii="Times New Roman" w:eastAsia="Times New Roman" w:hAnsi="Times New Roman" w:cs="Times New Roman"/>
          <w:bCs/>
          <w:color w:val="000000"/>
          <w:sz w:val="28"/>
          <w:szCs w:val="28"/>
        </w:rPr>
        <w:t xml:space="preserve">, 30 с.Борисовка; приобретена посуда, кухонный инвентарь в МБДОУ №№ 10, 19, 21, 22, 35, 39, 40, 57, 106, 247, 8 </w:t>
      </w:r>
      <w:proofErr w:type="spellStart"/>
      <w:r>
        <w:rPr>
          <w:rFonts w:ascii="Times New Roman" w:eastAsia="Times New Roman" w:hAnsi="Times New Roman" w:cs="Times New Roman"/>
          <w:bCs/>
          <w:color w:val="000000"/>
          <w:sz w:val="28"/>
          <w:szCs w:val="28"/>
        </w:rPr>
        <w:t>с.Корсаковка</w:t>
      </w:r>
      <w:proofErr w:type="spellEnd"/>
      <w:r>
        <w:rPr>
          <w:rFonts w:ascii="Times New Roman" w:eastAsia="Times New Roman" w:hAnsi="Times New Roman" w:cs="Times New Roman"/>
          <w:bCs/>
          <w:color w:val="000000"/>
          <w:sz w:val="28"/>
          <w:szCs w:val="28"/>
        </w:rPr>
        <w:t xml:space="preserve">, 30 с.Борисовка. </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Общеобразовательными учреждениями на сумму 6 635 536,00 рублей, в том числе:</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 xml:space="preserve">оснащение пищеблоков МБОУ СОШ №3 (водонагреватель); МБОУ СОШ №22 (плита электрическая, шкаф жарочный, котел пищеварочный, сковорода электрическая, шкафы холодильные, камеры холодильные, машина овощерезательная, мясорубка электрическая, тестомес, </w:t>
      </w:r>
      <w:proofErr w:type="spellStart"/>
      <w:r>
        <w:rPr>
          <w:rFonts w:ascii="Times New Roman" w:eastAsia="Times New Roman" w:hAnsi="Times New Roman" w:cs="Times New Roman"/>
          <w:bCs/>
          <w:color w:val="000000"/>
          <w:sz w:val="28"/>
          <w:szCs w:val="28"/>
        </w:rPr>
        <w:t>пароконвектомат</w:t>
      </w:r>
      <w:proofErr w:type="spellEnd"/>
      <w:r>
        <w:rPr>
          <w:rFonts w:ascii="Times New Roman" w:eastAsia="Times New Roman" w:hAnsi="Times New Roman" w:cs="Times New Roman"/>
          <w:bCs/>
          <w:color w:val="000000"/>
          <w:sz w:val="28"/>
          <w:szCs w:val="28"/>
        </w:rPr>
        <w:t xml:space="preserve">, столы производственные, линии раздачи Мармит и </w:t>
      </w:r>
      <w:r>
        <w:rPr>
          <w:rFonts w:ascii="Times New Roman" w:eastAsia="Times New Roman" w:hAnsi="Times New Roman" w:cs="Times New Roman"/>
          <w:bCs/>
          <w:color w:val="000000"/>
          <w:sz w:val="28"/>
          <w:szCs w:val="28"/>
        </w:rPr>
        <w:lastRenderedPageBreak/>
        <w:t xml:space="preserve">Прилавок, стеллаж складской, ванны моечные, весы электронные, </w:t>
      </w:r>
      <w:proofErr w:type="spellStart"/>
      <w:r>
        <w:rPr>
          <w:rFonts w:ascii="Times New Roman" w:eastAsia="Times New Roman" w:hAnsi="Times New Roman" w:cs="Times New Roman"/>
          <w:bCs/>
          <w:color w:val="000000"/>
          <w:sz w:val="28"/>
          <w:szCs w:val="28"/>
        </w:rPr>
        <w:t>рециркуляторы-облучатели</w:t>
      </w:r>
      <w:proofErr w:type="spellEnd"/>
      <w:r>
        <w:rPr>
          <w:rFonts w:ascii="Times New Roman" w:eastAsia="Times New Roman" w:hAnsi="Times New Roman" w:cs="Times New Roman"/>
          <w:bCs/>
          <w:color w:val="000000"/>
          <w:sz w:val="28"/>
          <w:szCs w:val="28"/>
        </w:rPr>
        <w:t xml:space="preserve">, лампы </w:t>
      </w:r>
      <w:proofErr w:type="spellStart"/>
      <w:r>
        <w:rPr>
          <w:rFonts w:ascii="Times New Roman" w:eastAsia="Times New Roman" w:hAnsi="Times New Roman" w:cs="Times New Roman"/>
          <w:bCs/>
          <w:color w:val="000000"/>
          <w:sz w:val="28"/>
          <w:szCs w:val="28"/>
        </w:rPr>
        <w:t>инсектицидные</w:t>
      </w:r>
      <w:proofErr w:type="spellEnd"/>
      <w:r>
        <w:rPr>
          <w:rFonts w:ascii="Times New Roman" w:eastAsia="Times New Roman" w:hAnsi="Times New Roman" w:cs="Times New Roman"/>
          <w:bCs/>
          <w:color w:val="000000"/>
          <w:sz w:val="28"/>
          <w:szCs w:val="28"/>
        </w:rPr>
        <w:t xml:space="preserve">), МБОУ СОШ № 28 (шкаф жарочный), МБОУ СОШ № 30 (стеллажи для тарелок, стеллаж для хранения сыпучих продуктов, тележка сервировочная, шкаф аптечка, шкафы для уборочного инвентаря, буфет); МБОУ Гимназия № 133 (полка настенная, полка навесная, </w:t>
      </w:r>
      <w:proofErr w:type="spellStart"/>
      <w:r>
        <w:rPr>
          <w:rFonts w:ascii="Times New Roman" w:eastAsia="Times New Roman" w:hAnsi="Times New Roman" w:cs="Times New Roman"/>
          <w:bCs/>
          <w:color w:val="000000"/>
          <w:sz w:val="28"/>
          <w:szCs w:val="28"/>
        </w:rPr>
        <w:t>рециркуляторы-облучатели</w:t>
      </w:r>
      <w:proofErr w:type="spellEnd"/>
      <w:r>
        <w:rPr>
          <w:rFonts w:ascii="Times New Roman" w:eastAsia="Times New Roman" w:hAnsi="Times New Roman" w:cs="Times New Roman"/>
          <w:bCs/>
          <w:color w:val="000000"/>
          <w:sz w:val="28"/>
          <w:szCs w:val="28"/>
        </w:rPr>
        <w:t xml:space="preserve">); МБОУ СОШ с.Степное (плита электрическая, </w:t>
      </w:r>
      <w:proofErr w:type="spellStart"/>
      <w:r>
        <w:rPr>
          <w:rFonts w:ascii="Times New Roman" w:eastAsia="Times New Roman" w:hAnsi="Times New Roman" w:cs="Times New Roman"/>
          <w:bCs/>
          <w:color w:val="000000"/>
          <w:sz w:val="28"/>
          <w:szCs w:val="28"/>
        </w:rPr>
        <w:t>пароконвектомат</w:t>
      </w:r>
      <w:proofErr w:type="spellEnd"/>
      <w:r>
        <w:rPr>
          <w:rFonts w:ascii="Times New Roman" w:eastAsia="Times New Roman" w:hAnsi="Times New Roman" w:cs="Times New Roman"/>
          <w:bCs/>
          <w:color w:val="000000"/>
          <w:sz w:val="28"/>
          <w:szCs w:val="28"/>
        </w:rPr>
        <w:t xml:space="preserve">, подставка для </w:t>
      </w:r>
      <w:proofErr w:type="spellStart"/>
      <w:r>
        <w:rPr>
          <w:rFonts w:ascii="Times New Roman" w:eastAsia="Times New Roman" w:hAnsi="Times New Roman" w:cs="Times New Roman"/>
          <w:bCs/>
          <w:color w:val="000000"/>
          <w:sz w:val="28"/>
          <w:szCs w:val="28"/>
        </w:rPr>
        <w:t>пароконвектомата</w:t>
      </w:r>
      <w:proofErr w:type="spellEnd"/>
      <w:r>
        <w:rPr>
          <w:rFonts w:ascii="Times New Roman" w:eastAsia="Times New Roman" w:hAnsi="Times New Roman" w:cs="Times New Roman"/>
          <w:bCs/>
          <w:color w:val="000000"/>
          <w:sz w:val="28"/>
          <w:szCs w:val="28"/>
        </w:rPr>
        <w:t xml:space="preserve">, столы разделочные, стеллажи, полки, шкафы, </w:t>
      </w:r>
      <w:proofErr w:type="spellStart"/>
      <w:r>
        <w:rPr>
          <w:rFonts w:ascii="Times New Roman" w:eastAsia="Times New Roman" w:hAnsi="Times New Roman" w:cs="Times New Roman"/>
          <w:bCs/>
          <w:color w:val="000000"/>
          <w:sz w:val="28"/>
          <w:szCs w:val="28"/>
        </w:rPr>
        <w:t>рециркуляторы-облучатели</w:t>
      </w:r>
      <w:proofErr w:type="spellEnd"/>
      <w:r>
        <w:rPr>
          <w:rFonts w:ascii="Times New Roman" w:eastAsia="Times New Roman" w:hAnsi="Times New Roman" w:cs="Times New Roman"/>
          <w:bCs/>
          <w:color w:val="000000"/>
          <w:sz w:val="28"/>
          <w:szCs w:val="28"/>
        </w:rPr>
        <w:t xml:space="preserve">, шкаф для аптечки, витрина для раздачи блюд, мебель для обеденного зала, жалюзи, сушилки для рук, дозаторы, </w:t>
      </w:r>
      <w:proofErr w:type="spellStart"/>
      <w:r>
        <w:rPr>
          <w:rFonts w:ascii="Times New Roman" w:eastAsia="Times New Roman" w:hAnsi="Times New Roman" w:cs="Times New Roman"/>
          <w:bCs/>
          <w:color w:val="000000"/>
          <w:sz w:val="28"/>
          <w:szCs w:val="28"/>
        </w:rPr>
        <w:t>диспенсер</w:t>
      </w:r>
      <w:proofErr w:type="spellEnd"/>
      <w:r>
        <w:rPr>
          <w:rFonts w:ascii="Times New Roman" w:eastAsia="Times New Roman" w:hAnsi="Times New Roman" w:cs="Times New Roman"/>
          <w:bCs/>
          <w:color w:val="000000"/>
          <w:sz w:val="28"/>
          <w:szCs w:val="28"/>
        </w:rPr>
        <w:t xml:space="preserve">, ведра для мусора), МБОУ СОШ                    с. Красный Яр (столы с бортиком, стеллажи, водонагреватель, </w:t>
      </w:r>
      <w:proofErr w:type="spellStart"/>
      <w:r>
        <w:rPr>
          <w:rFonts w:ascii="Times New Roman" w:eastAsia="Times New Roman" w:hAnsi="Times New Roman" w:cs="Times New Roman"/>
          <w:bCs/>
          <w:color w:val="000000"/>
          <w:sz w:val="28"/>
          <w:szCs w:val="28"/>
        </w:rPr>
        <w:t>поттер</w:t>
      </w:r>
      <w:proofErr w:type="spellEnd"/>
      <w:r>
        <w:rPr>
          <w:rFonts w:ascii="Times New Roman" w:eastAsia="Times New Roman" w:hAnsi="Times New Roman" w:cs="Times New Roman"/>
          <w:bCs/>
          <w:color w:val="000000"/>
          <w:sz w:val="28"/>
          <w:szCs w:val="28"/>
        </w:rPr>
        <w:t xml:space="preserve">, весы товарные, мебель для обеденного зала, шкаф для медикаментов, шкаф для уборочного инвентаря, жалюзи, электросушилка, кухонный инвентарь, посуда, подставки для кухонного инвентаря, </w:t>
      </w:r>
      <w:proofErr w:type="spellStart"/>
      <w:r>
        <w:rPr>
          <w:rFonts w:ascii="Times New Roman" w:eastAsia="Times New Roman" w:hAnsi="Times New Roman" w:cs="Times New Roman"/>
          <w:bCs/>
          <w:color w:val="000000"/>
          <w:sz w:val="28"/>
          <w:szCs w:val="28"/>
        </w:rPr>
        <w:t>облучатель-рециркулятор</w:t>
      </w:r>
      <w:proofErr w:type="spellEnd"/>
      <w:r>
        <w:rPr>
          <w:rFonts w:ascii="Times New Roman" w:eastAsia="Times New Roman" w:hAnsi="Times New Roman" w:cs="Times New Roman"/>
          <w:bCs/>
          <w:color w:val="000000"/>
          <w:sz w:val="28"/>
          <w:szCs w:val="28"/>
        </w:rPr>
        <w:t xml:space="preserve">, дозаторы, </w:t>
      </w:r>
      <w:proofErr w:type="spellStart"/>
      <w:r>
        <w:rPr>
          <w:rFonts w:ascii="Times New Roman" w:eastAsia="Times New Roman" w:hAnsi="Times New Roman" w:cs="Times New Roman"/>
          <w:bCs/>
          <w:color w:val="000000"/>
          <w:sz w:val="28"/>
          <w:szCs w:val="28"/>
        </w:rPr>
        <w:t>диспенсеры</w:t>
      </w:r>
      <w:proofErr w:type="spellEnd"/>
      <w:r>
        <w:rPr>
          <w:rFonts w:ascii="Times New Roman" w:eastAsia="Times New Roman" w:hAnsi="Times New Roman" w:cs="Times New Roman"/>
          <w:bCs/>
          <w:color w:val="000000"/>
          <w:sz w:val="28"/>
          <w:szCs w:val="28"/>
        </w:rPr>
        <w:t>, хозяйственный инвентарь); МБОУ СОШ                               с. Воздвиженка (стенды, жалюзи вертикальные);</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оснащение актового зала в учебном корпусе здания МБОУ СОШ № 22 по ул.Тимирязева,33 (сцена, одежда сцены) и приобретение хозяйственного инвентаря (</w:t>
      </w:r>
      <w:proofErr w:type="spellStart"/>
      <w:r>
        <w:rPr>
          <w:rFonts w:ascii="Times New Roman" w:eastAsia="Times New Roman" w:hAnsi="Times New Roman" w:cs="Times New Roman"/>
          <w:bCs/>
          <w:color w:val="000000"/>
          <w:sz w:val="28"/>
          <w:szCs w:val="28"/>
        </w:rPr>
        <w:t>диспенсеры</w:t>
      </w:r>
      <w:proofErr w:type="spellEnd"/>
      <w:r>
        <w:rPr>
          <w:rFonts w:ascii="Times New Roman" w:eastAsia="Times New Roman" w:hAnsi="Times New Roman" w:cs="Times New Roman"/>
          <w:bCs/>
          <w:color w:val="000000"/>
          <w:sz w:val="28"/>
          <w:szCs w:val="28"/>
        </w:rPr>
        <w:t xml:space="preserve">, дозаторы, ведра, корзины для мусора, комплекты </w:t>
      </w:r>
      <w:proofErr w:type="spellStart"/>
      <w:r>
        <w:rPr>
          <w:rFonts w:ascii="Times New Roman" w:eastAsia="Times New Roman" w:hAnsi="Times New Roman" w:cs="Times New Roman"/>
          <w:bCs/>
          <w:color w:val="000000"/>
          <w:sz w:val="28"/>
          <w:szCs w:val="28"/>
        </w:rPr>
        <w:t>повесные</w:t>
      </w:r>
      <w:proofErr w:type="spellEnd"/>
      <w:r>
        <w:rPr>
          <w:rFonts w:ascii="Times New Roman" w:eastAsia="Times New Roman" w:hAnsi="Times New Roman" w:cs="Times New Roman"/>
          <w:bCs/>
          <w:color w:val="000000"/>
          <w:sz w:val="28"/>
          <w:szCs w:val="28"/>
        </w:rPr>
        <w:t xml:space="preserve"> (ершик + подставка);</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 xml:space="preserve">оснащение туалетной комнаты дошкольного отделения МБОУ СОШ                 с. Алексей-Никольское (стеллаж для хранения индивидуальных горшков, шкаф для хранения уборочного инвентаря и чистящих средств, вешалки для детских полотенец); </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приобретен мягкий инвентарь и посуда в МБОУ СОШ № 11;</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оснащение школьных пространств учебного корпуса МБОУ Гимназия № 133 по пр.Блюхера, д.82 (приобретены вешалки напольные</w:t>
      </w:r>
      <w:r>
        <w:rPr>
          <w:rFonts w:ascii="Times New Roman" w:eastAsia="Times New Roman" w:hAnsi="Times New Roman" w:cs="Times New Roman"/>
          <w:i/>
          <w:sz w:val="24"/>
          <w:szCs w:val="24"/>
        </w:rPr>
        <w:t>)</w:t>
      </w:r>
      <w:r>
        <w:rPr>
          <w:rFonts w:ascii="Times New Roman" w:eastAsia="Times New Roman" w:hAnsi="Times New Roman" w:cs="Times New Roman"/>
          <w:bCs/>
          <w:color w:val="000000"/>
          <w:sz w:val="28"/>
          <w:szCs w:val="28"/>
        </w:rPr>
        <w:t>.</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 xml:space="preserve">Учреждениями дополнительного образования на сумму 1 729 156,00 рублей приобретены музыкальные инструменты для детского юнармейского </w:t>
      </w:r>
      <w:r>
        <w:rPr>
          <w:rFonts w:ascii="Times New Roman" w:eastAsia="Times New Roman" w:hAnsi="Times New Roman" w:cs="Times New Roman"/>
          <w:bCs/>
          <w:color w:val="000000"/>
          <w:sz w:val="28"/>
          <w:szCs w:val="28"/>
        </w:rPr>
        <w:lastRenderedPageBreak/>
        <w:t xml:space="preserve">духового оркестра ЦРТДЮ на сумму 1 238 060,00 рублей; для оснащения кабинета психолого-педагогической помощи «ОПОРА» СЮТ направлено 491 096,00 рублей (приобретена мебель, ноутбук, МФУ, ламинатор, </w:t>
      </w:r>
      <w:proofErr w:type="spellStart"/>
      <w:r>
        <w:rPr>
          <w:rFonts w:ascii="Times New Roman" w:eastAsia="Times New Roman" w:hAnsi="Times New Roman" w:cs="Times New Roman"/>
          <w:bCs/>
          <w:color w:val="000000"/>
          <w:sz w:val="28"/>
          <w:szCs w:val="28"/>
        </w:rPr>
        <w:t>веб-камера</w:t>
      </w:r>
      <w:proofErr w:type="spellEnd"/>
      <w:r>
        <w:rPr>
          <w:rFonts w:ascii="Times New Roman" w:eastAsia="Times New Roman" w:hAnsi="Times New Roman" w:cs="Times New Roman"/>
          <w:bCs/>
          <w:color w:val="000000"/>
          <w:sz w:val="28"/>
          <w:szCs w:val="28"/>
        </w:rPr>
        <w:t>, колонки, ковер, рулонные шторы, сейф, цветовая диагностика и музыкотерапия, песочная магия, программное обеспечение по психологическому диагностированию, наборы психологических методик, текст Векслера).</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МАУ ДОЛ «Надежда» на сумму 735 296,00 рублей приобретены стиральная машина, ларь морозильная, шкаф морозильный, микроволновая печь. кондиционеры, кровати 2-х ярусные, подушки, газонокосилки, жалюзи, спортивный инвентарь, настольные игры, канцелярские товары, баннеры, плакаты, таблички.</w:t>
      </w:r>
    </w:p>
    <w:p w:rsidR="00B52DE3" w:rsidRDefault="00DE73E3">
      <w:pPr>
        <w:widowControl w:val="0"/>
        <w:spacing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В первом квартале продолжается поставка оборудования ГАУ ДПО ПК ИРО  в общеобразовательные организации Уссурийского городского округа Приморского края, участвующие в Федеральном проекте «Всё лучшее детям» национального проекта «Молодёжь и дети», для оснащения предметных кабинетов «Основы безопасности и защиты Родины», «Труд (Технология)».</w:t>
      </w:r>
    </w:p>
    <w:p w:rsidR="00B52DE3" w:rsidRDefault="00B52DE3">
      <w:pPr>
        <w:widowControl w:val="0"/>
        <w:spacing w:after="0" w:line="360" w:lineRule="auto"/>
        <w:jc w:val="both"/>
        <w:rPr>
          <w:rFonts w:ascii="Times New Roman" w:hAnsi="Times New Roman" w:cs="Times New Roman"/>
          <w:sz w:val="28"/>
          <w:szCs w:val="28"/>
        </w:rPr>
      </w:pPr>
    </w:p>
    <w:p w:rsidR="00B52DE3" w:rsidRDefault="00DE73E3">
      <w:pPr>
        <w:widowControl w:val="0"/>
        <w:spacing w:line="240" w:lineRule="auto"/>
        <w:jc w:val="center"/>
        <w:rPr>
          <w:rFonts w:ascii="Times New Roman" w:hAnsi="Times New Roman" w:cs="Times New Roman"/>
        </w:rPr>
      </w:pPr>
      <w:r>
        <w:rPr>
          <w:rFonts w:ascii="Times New Roman" w:eastAsia="Times New Roman" w:hAnsi="Times New Roman" w:cs="Times New Roman"/>
          <w:b/>
          <w:bCs/>
          <w:color w:val="000000"/>
          <w:sz w:val="28"/>
          <w:szCs w:val="28"/>
        </w:rPr>
        <w:t>Создание современной и безопасной цифровой образовательной среды, обеспечивающей высокое качество и доступность образования всех видов и уровней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iCs/>
          <w:sz w:val="28"/>
          <w:szCs w:val="28"/>
        </w:rPr>
        <w:t xml:space="preserve">15 образовательных организаций получили оборудование в рамках реализации Федерального проекта «Цифровая образовательная среда» – МБОУ СОШ № 3, № 11, № 13, № 28, № 31, № 25, № 133, МБОУ СОШ                       с. Борисовка, МБОУ СОШ с. </w:t>
      </w:r>
      <w:proofErr w:type="spellStart"/>
      <w:r>
        <w:rPr>
          <w:rFonts w:ascii="Times New Roman" w:eastAsia="Times New Roman" w:hAnsi="Times New Roman" w:cs="Times New Roman"/>
          <w:iCs/>
          <w:sz w:val="28"/>
          <w:szCs w:val="28"/>
        </w:rPr>
        <w:t>Корсаковка</w:t>
      </w:r>
      <w:proofErr w:type="spellEnd"/>
      <w:r>
        <w:rPr>
          <w:rFonts w:ascii="Times New Roman" w:eastAsia="Times New Roman" w:hAnsi="Times New Roman" w:cs="Times New Roman"/>
          <w:iCs/>
          <w:sz w:val="28"/>
          <w:szCs w:val="28"/>
        </w:rPr>
        <w:t xml:space="preserve">, МБОУ СОШ п. Тимирязевский, МБОУ СОШ с. Воздвиженка, МБОУ СОШ с. Степное, МБОУ СОШ </w:t>
      </w:r>
      <w:proofErr w:type="spellStart"/>
      <w:r>
        <w:rPr>
          <w:rFonts w:ascii="Times New Roman" w:eastAsia="Times New Roman" w:hAnsi="Times New Roman" w:cs="Times New Roman"/>
          <w:iCs/>
          <w:sz w:val="28"/>
          <w:szCs w:val="28"/>
        </w:rPr>
        <w:t>с.Корфовка</w:t>
      </w:r>
      <w:proofErr w:type="spellEnd"/>
      <w:r>
        <w:rPr>
          <w:rFonts w:ascii="Times New Roman" w:eastAsia="Times New Roman" w:hAnsi="Times New Roman" w:cs="Times New Roman"/>
          <w:iCs/>
          <w:sz w:val="28"/>
          <w:szCs w:val="28"/>
        </w:rPr>
        <w:t xml:space="preserve">, МБОУ СОШ с. </w:t>
      </w:r>
      <w:proofErr w:type="spellStart"/>
      <w:r>
        <w:rPr>
          <w:rFonts w:ascii="Times New Roman" w:eastAsia="Times New Roman" w:hAnsi="Times New Roman" w:cs="Times New Roman"/>
          <w:iCs/>
          <w:sz w:val="28"/>
          <w:szCs w:val="28"/>
        </w:rPr>
        <w:t>Пуциловка</w:t>
      </w:r>
      <w:proofErr w:type="spellEnd"/>
      <w:r>
        <w:rPr>
          <w:rFonts w:ascii="Times New Roman" w:eastAsia="Times New Roman" w:hAnsi="Times New Roman" w:cs="Times New Roman"/>
          <w:iCs/>
          <w:sz w:val="28"/>
          <w:szCs w:val="28"/>
        </w:rPr>
        <w:t>, МБОУ ВСОШ № 1.</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iCs/>
          <w:sz w:val="28"/>
          <w:szCs w:val="28"/>
        </w:rPr>
        <w:t xml:space="preserve">156 мероприятий (уроков по учебным предметам и курсам, в том числе </w:t>
      </w:r>
      <w:r>
        <w:rPr>
          <w:rFonts w:ascii="Times New Roman" w:eastAsia="Times New Roman" w:hAnsi="Times New Roman" w:cs="Times New Roman"/>
          <w:iCs/>
          <w:sz w:val="28"/>
          <w:szCs w:val="28"/>
        </w:rPr>
        <w:lastRenderedPageBreak/>
        <w:t>«Математика», «Информатика», «Физика», «Биология», «Химия», внеурочных занятий, видеоконференцсвязи с обучающимися) проведено с использованием оборудования ЦОС.</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iCs/>
          <w:sz w:val="28"/>
          <w:szCs w:val="28"/>
        </w:rPr>
        <w:t xml:space="preserve">В Уссурийском городском округе для достижения целевого показателя по увеличению доли пользователей «Универсальной библиотеки цифрового образовательного </w:t>
      </w:r>
      <w:proofErr w:type="spellStart"/>
      <w:r>
        <w:rPr>
          <w:rFonts w:ascii="Times New Roman" w:eastAsia="Times New Roman" w:hAnsi="Times New Roman" w:cs="Times New Roman"/>
          <w:iCs/>
          <w:sz w:val="28"/>
          <w:szCs w:val="28"/>
        </w:rPr>
        <w:t>контента</w:t>
      </w:r>
      <w:proofErr w:type="spellEnd"/>
      <w:r>
        <w:rPr>
          <w:rFonts w:ascii="Times New Roman" w:eastAsia="Times New Roman" w:hAnsi="Times New Roman" w:cs="Times New Roman"/>
          <w:iCs/>
          <w:sz w:val="28"/>
          <w:szCs w:val="28"/>
        </w:rPr>
        <w:t>» утвержден комплекс мер:</w:t>
      </w:r>
    </w:p>
    <w:p w:rsidR="00B52DE3" w:rsidRDefault="00DE73E3">
      <w:pPr>
        <w:widowControl w:val="0"/>
        <w:spacing w:after="0" w:line="360" w:lineRule="auto"/>
        <w:ind w:firstLine="709"/>
        <w:jc w:val="both"/>
        <w:rPr>
          <w:rFonts w:ascii="Times New Roman" w:eastAsia="Times New Roman" w:hAnsi="Times New Roman" w:cs="Times New Roman"/>
          <w:iCs/>
          <w:sz w:val="28"/>
          <w:szCs w:val="28"/>
          <w:highlight w:val="white"/>
        </w:rPr>
      </w:pPr>
      <w:r>
        <w:rPr>
          <w:rFonts w:ascii="Times New Roman" w:eastAsia="Times New Roman" w:hAnsi="Times New Roman" w:cs="Times New Roman"/>
          <w:iCs/>
          <w:sz w:val="28"/>
          <w:szCs w:val="28"/>
          <w:highlight w:val="white"/>
        </w:rPr>
        <w:t xml:space="preserve">назначен муниципальный координатор Проекта и два </w:t>
      </w:r>
      <w:proofErr w:type="spellStart"/>
      <w:r>
        <w:rPr>
          <w:rFonts w:ascii="Times New Roman" w:eastAsia="Times New Roman" w:hAnsi="Times New Roman" w:cs="Times New Roman"/>
          <w:iCs/>
          <w:sz w:val="28"/>
          <w:szCs w:val="28"/>
          <w:highlight w:val="white"/>
        </w:rPr>
        <w:t>педагога-амбассадора</w:t>
      </w:r>
      <w:proofErr w:type="spellEnd"/>
      <w:r>
        <w:rPr>
          <w:rFonts w:ascii="Times New Roman" w:eastAsia="Times New Roman" w:hAnsi="Times New Roman" w:cs="Times New Roman"/>
          <w:iCs/>
          <w:sz w:val="28"/>
          <w:szCs w:val="28"/>
          <w:highlight w:val="white"/>
        </w:rPr>
        <w:t xml:space="preserve"> для методической поддержки учителей;</w:t>
      </w:r>
    </w:p>
    <w:p w:rsidR="00B52DE3" w:rsidRDefault="00DE73E3">
      <w:pPr>
        <w:widowControl w:val="0"/>
        <w:spacing w:after="0" w:line="360" w:lineRule="auto"/>
        <w:ind w:firstLine="709"/>
        <w:jc w:val="both"/>
        <w:rPr>
          <w:rFonts w:ascii="Times New Roman" w:eastAsia="Times New Roman" w:hAnsi="Times New Roman" w:cs="Times New Roman"/>
          <w:iCs/>
          <w:color w:val="000000" w:themeColor="text1"/>
          <w:sz w:val="28"/>
          <w:szCs w:val="28"/>
          <w:highlight w:val="white"/>
        </w:rPr>
      </w:pPr>
      <w:r>
        <w:rPr>
          <w:rFonts w:ascii="Times New Roman" w:eastAsia="Times New Roman" w:hAnsi="Times New Roman" w:cs="Times New Roman"/>
          <w:iCs/>
          <w:color w:val="000000" w:themeColor="text1"/>
          <w:sz w:val="28"/>
          <w:szCs w:val="28"/>
        </w:rPr>
        <w:t xml:space="preserve">17 педагогов с 16 сентября 2025 года по 16 октября 2025 года прошли курсы повышения квалификации «Использование библиотеки цифрового образовательного </w:t>
      </w:r>
      <w:proofErr w:type="spellStart"/>
      <w:r>
        <w:rPr>
          <w:rFonts w:ascii="Times New Roman" w:eastAsia="Times New Roman" w:hAnsi="Times New Roman" w:cs="Times New Roman"/>
          <w:iCs/>
          <w:color w:val="000000" w:themeColor="text1"/>
          <w:sz w:val="28"/>
          <w:szCs w:val="28"/>
        </w:rPr>
        <w:t>контента</w:t>
      </w:r>
      <w:proofErr w:type="spellEnd"/>
      <w:r>
        <w:rPr>
          <w:rFonts w:ascii="Times New Roman" w:eastAsia="Times New Roman" w:hAnsi="Times New Roman" w:cs="Times New Roman"/>
          <w:iCs/>
          <w:color w:val="000000" w:themeColor="text1"/>
          <w:sz w:val="28"/>
          <w:szCs w:val="28"/>
        </w:rPr>
        <w:t xml:space="preserve">  в учебной деятельности»;</w:t>
      </w:r>
    </w:p>
    <w:p w:rsidR="00B52DE3" w:rsidRDefault="00DE73E3">
      <w:pPr>
        <w:widowControl w:val="0"/>
        <w:spacing w:after="0" w:line="360" w:lineRule="auto"/>
        <w:ind w:firstLine="709"/>
        <w:jc w:val="both"/>
        <w:rPr>
          <w:rFonts w:ascii="Times New Roman" w:eastAsia="Times New Roman" w:hAnsi="Times New Roman" w:cs="Times New Roman"/>
          <w:iCs/>
          <w:color w:val="000000" w:themeColor="text1"/>
          <w:sz w:val="28"/>
          <w:szCs w:val="28"/>
          <w:highlight w:val="white"/>
        </w:rPr>
      </w:pPr>
      <w:r>
        <w:rPr>
          <w:rFonts w:ascii="Times New Roman" w:eastAsia="Times New Roman" w:hAnsi="Times New Roman" w:cs="Times New Roman"/>
          <w:iCs/>
          <w:color w:val="000000" w:themeColor="text1"/>
          <w:sz w:val="28"/>
          <w:szCs w:val="28"/>
          <w:highlight w:val="white"/>
        </w:rPr>
        <w:t>организован ежедневный мониторинг использования ЦОК</w:t>
      </w:r>
      <w:r>
        <w:rPr>
          <w:rFonts w:ascii="Times New Roman" w:eastAsia="Times New Roman" w:hAnsi="Times New Roman" w:cs="Times New Roman"/>
          <w:iCs/>
          <w:color w:val="000000" w:themeColor="text1"/>
          <w:sz w:val="28"/>
          <w:szCs w:val="28"/>
        </w:rPr>
        <w:t>.</w:t>
      </w:r>
    </w:p>
    <w:p w:rsidR="00B52DE3" w:rsidRDefault="00B52DE3">
      <w:pPr>
        <w:widowControl w:val="0"/>
        <w:spacing w:after="0" w:line="360" w:lineRule="auto"/>
        <w:ind w:firstLine="709"/>
        <w:jc w:val="both"/>
        <w:rPr>
          <w:rFonts w:ascii="Times New Roman" w:hAnsi="Times New Roman" w:cs="Times New Roman"/>
        </w:rPr>
      </w:pPr>
    </w:p>
    <w:p w:rsidR="00B52DE3" w:rsidRDefault="00DE73E3">
      <w:pPr>
        <w:widowControl w:val="0"/>
        <w:spacing w:line="240" w:lineRule="auto"/>
        <w:jc w:val="center"/>
        <w:rPr>
          <w:rFonts w:ascii="Times New Roman" w:hAnsi="Times New Roman" w:cs="Times New Roman"/>
        </w:rPr>
      </w:pPr>
      <w:r>
        <w:rPr>
          <w:rFonts w:ascii="Times New Roman" w:eastAsia="Times New Roman" w:hAnsi="Times New Roman" w:cs="Times New Roman"/>
          <w:b/>
          <w:bCs/>
          <w:color w:val="000000"/>
          <w:sz w:val="28"/>
          <w:szCs w:val="28"/>
        </w:rPr>
        <w:t>Профессиональный рост педагогических работников общеобразовательных организаций</w:t>
      </w:r>
    </w:p>
    <w:p w:rsidR="00B52DE3" w:rsidRDefault="00B52DE3">
      <w:pPr>
        <w:widowControl w:val="0"/>
        <w:spacing w:line="240" w:lineRule="auto"/>
        <w:jc w:val="center"/>
        <w:rPr>
          <w:rFonts w:ascii="Times New Roman" w:hAnsi="Times New Roman" w:cs="Times New Roman"/>
        </w:rPr>
      </w:pPr>
    </w:p>
    <w:p w:rsidR="00B52DE3" w:rsidRDefault="00DE73E3">
      <w:pPr>
        <w:pStyle w:val="aff8"/>
        <w:widowControl w:val="0"/>
        <w:spacing w:after="0" w:line="360" w:lineRule="auto"/>
        <w:ind w:firstLine="709"/>
        <w:jc w:val="both"/>
        <w:rPr>
          <w:color w:val="000000" w:themeColor="text1"/>
          <w:sz w:val="28"/>
          <w:szCs w:val="28"/>
        </w:rPr>
      </w:pPr>
      <w:r>
        <w:rPr>
          <w:bCs/>
          <w:color w:val="000000" w:themeColor="text1"/>
          <w:sz w:val="28"/>
          <w:szCs w:val="28"/>
        </w:rPr>
        <w:t xml:space="preserve">С целью повышения профессиональных компетентностей педагогов организовано участие учителей Уссурийского городского округа в следующих семинарах и </w:t>
      </w:r>
      <w:proofErr w:type="spellStart"/>
      <w:r>
        <w:rPr>
          <w:bCs/>
          <w:color w:val="000000" w:themeColor="text1"/>
          <w:sz w:val="28"/>
          <w:szCs w:val="28"/>
        </w:rPr>
        <w:t>вебинарах</w:t>
      </w:r>
      <w:proofErr w:type="spellEnd"/>
      <w:r>
        <w:rPr>
          <w:bCs/>
          <w:color w:val="000000" w:themeColor="text1"/>
          <w:sz w:val="28"/>
          <w:szCs w:val="28"/>
        </w:rPr>
        <w:t>:</w:t>
      </w:r>
    </w:p>
    <w:p w:rsidR="00B52DE3" w:rsidRDefault="00DE73E3">
      <w:pPr>
        <w:pStyle w:val="aff8"/>
        <w:widowControl w:val="0"/>
        <w:spacing w:after="0" w:line="360" w:lineRule="auto"/>
        <w:ind w:firstLine="709"/>
        <w:jc w:val="both"/>
        <w:rPr>
          <w:color w:val="0F1115"/>
          <w:sz w:val="28"/>
          <w:szCs w:val="28"/>
        </w:rPr>
      </w:pPr>
      <w:r>
        <w:rPr>
          <w:color w:val="0F1115"/>
          <w:sz w:val="28"/>
          <w:szCs w:val="28"/>
        </w:rPr>
        <w:t>23 января 2025 года - муниципальный семинар «Модель духовно-нравственного воспитания в образовательном пространстве МБОУ «СОШ                  № 131» (МБОУ «СОШ № 131», 33 педагога);</w:t>
      </w:r>
    </w:p>
    <w:p w:rsidR="00B52DE3" w:rsidRDefault="00DE73E3">
      <w:pPr>
        <w:pStyle w:val="aff8"/>
        <w:widowControl w:val="0"/>
        <w:spacing w:after="0" w:line="360" w:lineRule="auto"/>
        <w:ind w:firstLine="709"/>
        <w:jc w:val="both"/>
        <w:rPr>
          <w:color w:val="0F1115"/>
          <w:sz w:val="28"/>
          <w:szCs w:val="28"/>
        </w:rPr>
      </w:pPr>
      <w:r>
        <w:rPr>
          <w:color w:val="0F1115"/>
          <w:sz w:val="28"/>
          <w:szCs w:val="28"/>
        </w:rPr>
        <w:t>23 января 2025 года - семинар-практикум «Алгоритмы организации проектной и исследовательской деятельности в специализированных и профильных классах» (ГАУ ДПО ПК ИРО, 7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12 февраля 2025 года - всероссийский семинар «Обществознание: актуальные вопросы методики подготовки к итоговой аттестации» в рамках Х Международного фестиваля науки (ФГАОУ ВО «Государственный университет просвещения», 4 учителя обществознания);</w:t>
      </w:r>
    </w:p>
    <w:p w:rsidR="00B52DE3" w:rsidRDefault="00DE73E3">
      <w:pPr>
        <w:pStyle w:val="aff8"/>
        <w:widowControl w:val="0"/>
        <w:spacing w:after="0" w:line="360" w:lineRule="auto"/>
        <w:ind w:firstLine="709"/>
        <w:jc w:val="both"/>
        <w:rPr>
          <w:color w:val="0F1115"/>
          <w:sz w:val="28"/>
          <w:szCs w:val="28"/>
        </w:rPr>
      </w:pPr>
      <w:r>
        <w:rPr>
          <w:color w:val="0F1115"/>
          <w:sz w:val="28"/>
          <w:szCs w:val="28"/>
        </w:rPr>
        <w:lastRenderedPageBreak/>
        <w:t>12 февраля 2025 года - окружной семинар-совещание для специалистов системы образования и культуры ДФО (ФГБУ «Президентская библиотека имени Б.Н. Ельцина», 4 учителя истории);</w:t>
      </w:r>
    </w:p>
    <w:p w:rsidR="00B52DE3" w:rsidRDefault="00DE73E3">
      <w:pPr>
        <w:pStyle w:val="aff8"/>
        <w:widowControl w:val="0"/>
        <w:spacing w:after="0" w:line="360" w:lineRule="auto"/>
        <w:ind w:firstLine="709"/>
        <w:jc w:val="both"/>
        <w:rPr>
          <w:color w:val="0F1115"/>
          <w:sz w:val="28"/>
          <w:szCs w:val="28"/>
        </w:rPr>
      </w:pPr>
      <w:r>
        <w:rPr>
          <w:color w:val="0F1115"/>
          <w:sz w:val="28"/>
          <w:szCs w:val="28"/>
        </w:rPr>
        <w:t>24 февраля 2025 года - презентационная сессия «Лучшие педагогические практики по реализации предмета «Основы безопасности и защиты Родины» (ГАУ ДПО ПК ИРО, 5 учителей предмета «ОБЗР»);</w:t>
      </w:r>
    </w:p>
    <w:p w:rsidR="00B52DE3" w:rsidRDefault="00DE73E3">
      <w:pPr>
        <w:pStyle w:val="aff8"/>
        <w:widowControl w:val="0"/>
        <w:spacing w:after="0" w:line="360" w:lineRule="auto"/>
        <w:ind w:firstLine="709"/>
        <w:jc w:val="both"/>
        <w:rPr>
          <w:color w:val="0F1115"/>
          <w:sz w:val="28"/>
          <w:szCs w:val="28"/>
        </w:rPr>
      </w:pPr>
      <w:r>
        <w:rPr>
          <w:color w:val="0F1115"/>
          <w:sz w:val="28"/>
          <w:szCs w:val="28"/>
        </w:rPr>
        <w:t>25 февраля 2025 года - семинар по физической культуре в рамках проекта «Футбол в школе» (Общероссийская общественная организация «Российский футбольный союз», 30 учителей физической культуры);</w:t>
      </w:r>
    </w:p>
    <w:p w:rsidR="00B52DE3" w:rsidRDefault="00DE73E3">
      <w:pPr>
        <w:pStyle w:val="aff8"/>
        <w:widowControl w:val="0"/>
        <w:spacing w:after="0" w:line="360" w:lineRule="auto"/>
        <w:ind w:firstLine="709"/>
        <w:jc w:val="both"/>
        <w:rPr>
          <w:color w:val="0F1115"/>
          <w:sz w:val="28"/>
          <w:szCs w:val="28"/>
        </w:rPr>
      </w:pPr>
      <w:r>
        <w:rPr>
          <w:color w:val="0F1115"/>
          <w:sz w:val="28"/>
          <w:szCs w:val="28"/>
        </w:rPr>
        <w:t>27 февраля 2025 года - краевой семинар-совещание «Психолого-педагогические классы в Приморье: курс на повышение престижа учительской профессии» (Школа педагогики ДВФУ и управление образования и молодежной политики администрации Уссурийского городского округа, 7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04 марта 2025 года - краевой семинар «Образовательный робототехнический набор «</w:t>
      </w:r>
      <w:proofErr w:type="spellStart"/>
      <w:r>
        <w:rPr>
          <w:color w:val="0F1115"/>
          <w:sz w:val="28"/>
          <w:szCs w:val="28"/>
        </w:rPr>
        <w:t>Переделкин</w:t>
      </w:r>
      <w:proofErr w:type="spellEnd"/>
      <w:r>
        <w:rPr>
          <w:color w:val="0F1115"/>
          <w:sz w:val="28"/>
          <w:szCs w:val="28"/>
        </w:rPr>
        <w:t xml:space="preserve"> </w:t>
      </w:r>
      <w:proofErr w:type="spellStart"/>
      <w:r>
        <w:rPr>
          <w:color w:val="0F1115"/>
          <w:sz w:val="28"/>
          <w:szCs w:val="28"/>
        </w:rPr>
        <w:t>Робо</w:t>
      </w:r>
      <w:proofErr w:type="spellEnd"/>
      <w:r>
        <w:rPr>
          <w:color w:val="0F1115"/>
          <w:sz w:val="28"/>
          <w:szCs w:val="28"/>
        </w:rPr>
        <w:t>»: руководство к применению» (ГАУ ДПО ПК ИРО, 2 педагога);</w:t>
      </w:r>
    </w:p>
    <w:p w:rsidR="00B52DE3" w:rsidRDefault="00DE73E3">
      <w:pPr>
        <w:pStyle w:val="aff8"/>
        <w:widowControl w:val="0"/>
        <w:spacing w:after="0" w:line="360" w:lineRule="auto"/>
        <w:ind w:firstLine="709"/>
        <w:jc w:val="both"/>
        <w:rPr>
          <w:color w:val="0F1115"/>
          <w:sz w:val="28"/>
          <w:szCs w:val="28"/>
        </w:rPr>
      </w:pPr>
      <w:r>
        <w:rPr>
          <w:color w:val="0F1115"/>
          <w:sz w:val="28"/>
          <w:szCs w:val="28"/>
        </w:rPr>
        <w:t>14 марта 2025 года - семинар-практикум «Медицинский класс в приморской школе» (ГАУ ДПО ПК ИРО, МБОУ СОШ № 10 г. Арсеньева, 3 педагога);</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20 марта 2025 года - семинар «Организация подросткового добровольческого движения школьников, направленного на первичную профилактику </w:t>
      </w:r>
      <w:proofErr w:type="spellStart"/>
      <w:r>
        <w:rPr>
          <w:color w:val="0F1115"/>
          <w:sz w:val="28"/>
          <w:szCs w:val="28"/>
        </w:rPr>
        <w:t>наркозависимости</w:t>
      </w:r>
      <w:proofErr w:type="spellEnd"/>
      <w:r>
        <w:rPr>
          <w:color w:val="0F1115"/>
          <w:sz w:val="28"/>
          <w:szCs w:val="28"/>
        </w:rPr>
        <w:t xml:space="preserve"> подростков» (ГАУ ДПО ПК ИРО, 3 педагога);</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25 марта 2025 года - краевой методический </w:t>
      </w:r>
      <w:proofErr w:type="spellStart"/>
      <w:r>
        <w:rPr>
          <w:color w:val="0F1115"/>
          <w:sz w:val="28"/>
          <w:szCs w:val="28"/>
        </w:rPr>
        <w:t>интенсив</w:t>
      </w:r>
      <w:proofErr w:type="spellEnd"/>
      <w:r>
        <w:rPr>
          <w:color w:val="0F1115"/>
          <w:sz w:val="28"/>
          <w:szCs w:val="28"/>
        </w:rPr>
        <w:t xml:space="preserve"> для молодых педагогов «Функциональная грамотность: стратегии, дидактика и технологии формирования и развития» (ГАУ ДПО ПК ИРО, 2 педагога);</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02 июля 2025 года - региональный методический семинар «Обновление федеральной рабочей программы по русскому языку и литературе в </w:t>
      </w:r>
      <w:r>
        <w:rPr>
          <w:color w:val="0F1115"/>
          <w:sz w:val="28"/>
          <w:szCs w:val="28"/>
        </w:rPr>
        <w:lastRenderedPageBreak/>
        <w:t>соответствии с государственной политикой РФ» (3 педагога);</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06 июля 2025 года - всероссийская </w:t>
      </w:r>
      <w:proofErr w:type="spellStart"/>
      <w:r>
        <w:rPr>
          <w:color w:val="0F1115"/>
          <w:sz w:val="28"/>
          <w:szCs w:val="28"/>
        </w:rPr>
        <w:t>онлайн-конференция</w:t>
      </w:r>
      <w:proofErr w:type="spellEnd"/>
      <w:r>
        <w:rPr>
          <w:color w:val="0F1115"/>
          <w:sz w:val="28"/>
          <w:szCs w:val="28"/>
        </w:rPr>
        <w:t xml:space="preserve"> для учителей информатики на образовательной платформе «</w:t>
      </w:r>
      <w:proofErr w:type="spellStart"/>
      <w:r>
        <w:rPr>
          <w:color w:val="0F1115"/>
          <w:sz w:val="28"/>
          <w:szCs w:val="28"/>
        </w:rPr>
        <w:t>Яндекс</w:t>
      </w:r>
      <w:proofErr w:type="spellEnd"/>
      <w:r>
        <w:rPr>
          <w:color w:val="0F1115"/>
          <w:sz w:val="28"/>
          <w:szCs w:val="28"/>
        </w:rPr>
        <w:t xml:space="preserve"> Учебник»                            (16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21 июля 2025 года - </w:t>
      </w:r>
      <w:proofErr w:type="spellStart"/>
      <w:r>
        <w:rPr>
          <w:color w:val="0F1115"/>
          <w:sz w:val="28"/>
          <w:szCs w:val="28"/>
        </w:rPr>
        <w:t>онлайн-конференция</w:t>
      </w:r>
      <w:proofErr w:type="spellEnd"/>
      <w:r>
        <w:rPr>
          <w:color w:val="0F1115"/>
          <w:sz w:val="28"/>
          <w:szCs w:val="28"/>
        </w:rPr>
        <w:t xml:space="preserve"> «Августовка </w:t>
      </w:r>
      <w:proofErr w:type="spellStart"/>
      <w:r>
        <w:rPr>
          <w:color w:val="0F1115"/>
          <w:sz w:val="28"/>
          <w:szCs w:val="28"/>
        </w:rPr>
        <w:t>Учи.ру</w:t>
      </w:r>
      <w:proofErr w:type="spellEnd"/>
      <w:r>
        <w:rPr>
          <w:color w:val="0F1115"/>
          <w:sz w:val="28"/>
          <w:szCs w:val="28"/>
        </w:rPr>
        <w:t xml:space="preserve"> - 2025» (46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22 июля 2025 года - Августовская научно-практическая конференция педагогических работников Приморского края «Образование Приморья, создающее будущее. Технологический суверенитет, профориентация, </w:t>
      </w:r>
      <w:proofErr w:type="spellStart"/>
      <w:r>
        <w:rPr>
          <w:color w:val="0F1115"/>
          <w:sz w:val="28"/>
          <w:szCs w:val="28"/>
        </w:rPr>
        <w:t>дебюрократическое</w:t>
      </w:r>
      <w:proofErr w:type="spellEnd"/>
      <w:r>
        <w:rPr>
          <w:color w:val="0F1115"/>
          <w:sz w:val="28"/>
          <w:szCs w:val="28"/>
        </w:rPr>
        <w:t xml:space="preserve"> управление» (Правительство Приморского края, ГАУ ДПО ПК ИРО, 44 педагога, 4 спикера);</w:t>
      </w:r>
    </w:p>
    <w:p w:rsidR="00B52DE3" w:rsidRDefault="00DE73E3">
      <w:pPr>
        <w:pStyle w:val="aff8"/>
        <w:widowControl w:val="0"/>
        <w:spacing w:after="0" w:line="360" w:lineRule="auto"/>
        <w:ind w:firstLine="709"/>
        <w:jc w:val="both"/>
        <w:rPr>
          <w:color w:val="0F1115"/>
          <w:sz w:val="28"/>
          <w:szCs w:val="28"/>
        </w:rPr>
      </w:pPr>
      <w:r>
        <w:rPr>
          <w:color w:val="0F1115"/>
          <w:sz w:val="28"/>
          <w:szCs w:val="28"/>
        </w:rPr>
        <w:t>25-27 июля 2025 года – очный модуль образовательного мероприятия «Женщина-лидер. Север и Дальний Восток. Центры притяжения»                          (4 педагога);</w:t>
      </w:r>
    </w:p>
    <w:p w:rsidR="00B52DE3" w:rsidRDefault="00DE73E3">
      <w:pPr>
        <w:pStyle w:val="aff8"/>
        <w:widowControl w:val="0"/>
        <w:spacing w:after="0" w:line="360" w:lineRule="auto"/>
        <w:ind w:firstLine="709"/>
        <w:jc w:val="both"/>
        <w:rPr>
          <w:color w:val="0F1115"/>
          <w:sz w:val="28"/>
          <w:szCs w:val="28"/>
        </w:rPr>
      </w:pPr>
      <w:r>
        <w:rPr>
          <w:color w:val="0F1115"/>
          <w:sz w:val="28"/>
          <w:szCs w:val="28"/>
        </w:rPr>
        <w:t>31 июля 2025 года – очная конференция «ИИ в образовании: проектирование цифрового учебного опыта» (ДВФУ, 28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31 июля 2025 года – </w:t>
      </w:r>
      <w:proofErr w:type="spellStart"/>
      <w:r>
        <w:rPr>
          <w:color w:val="0F1115"/>
          <w:sz w:val="28"/>
          <w:szCs w:val="28"/>
        </w:rPr>
        <w:t>вебинар</w:t>
      </w:r>
      <w:proofErr w:type="spellEnd"/>
      <w:r>
        <w:rPr>
          <w:color w:val="0F1115"/>
          <w:sz w:val="28"/>
          <w:szCs w:val="28"/>
        </w:rPr>
        <w:t xml:space="preserve"> «Командная работа в цифровой среде: Библиотека ЦОК как ресурс сотрудничества и творчества педагогов и обучающихся» (7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14 августа 2025 года – </w:t>
      </w:r>
      <w:proofErr w:type="spellStart"/>
      <w:r>
        <w:rPr>
          <w:color w:val="0F1115"/>
          <w:sz w:val="28"/>
          <w:szCs w:val="28"/>
        </w:rPr>
        <w:t>вебинар</w:t>
      </w:r>
      <w:proofErr w:type="spellEnd"/>
      <w:r>
        <w:rPr>
          <w:color w:val="0F1115"/>
          <w:sz w:val="28"/>
          <w:szCs w:val="28"/>
        </w:rPr>
        <w:t xml:space="preserve"> «Формирование </w:t>
      </w:r>
      <w:proofErr w:type="spellStart"/>
      <w:r>
        <w:rPr>
          <w:color w:val="0F1115"/>
          <w:sz w:val="28"/>
          <w:szCs w:val="28"/>
        </w:rPr>
        <w:t>метапредметных</w:t>
      </w:r>
      <w:proofErr w:type="spellEnd"/>
      <w:r>
        <w:rPr>
          <w:color w:val="0F1115"/>
          <w:sz w:val="28"/>
          <w:szCs w:val="28"/>
        </w:rPr>
        <w:t xml:space="preserve"> компетенций на уроках с использованием ресурсов Библиотеки ЦОК»                       (9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21 августа 2025 года – </w:t>
      </w:r>
      <w:proofErr w:type="spellStart"/>
      <w:r>
        <w:rPr>
          <w:color w:val="0F1115"/>
          <w:sz w:val="28"/>
          <w:szCs w:val="28"/>
        </w:rPr>
        <w:t>вебинар</w:t>
      </w:r>
      <w:proofErr w:type="spellEnd"/>
      <w:r>
        <w:rPr>
          <w:color w:val="0F1115"/>
          <w:sz w:val="28"/>
          <w:szCs w:val="28"/>
        </w:rPr>
        <w:t xml:space="preserve"> «Обеспечение индивидуального подхода к обучению с помощью ресурсов Библиотеки ЦОК: на пути к адаптивным образовательным траекториям» (30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26-27 августа 2025 года – Всероссийский съезд учителей физики (дистанционно, Образовательный центр «Сириус», 5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27 августа 2025 года – семинар «Генеративный ИИ в образовании. Практика от Альфа-банка и НИУ ВШЭ» (6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lastRenderedPageBreak/>
        <w:t>27 августа 2025 года – совещание по вопросу организации и проведения федеральных мероприятий по оценке качества образования в 2025/2026 учебном году (</w:t>
      </w:r>
      <w:proofErr w:type="spellStart"/>
      <w:r>
        <w:rPr>
          <w:color w:val="0F1115"/>
          <w:sz w:val="28"/>
          <w:szCs w:val="28"/>
        </w:rPr>
        <w:t>Рособрнадзор</w:t>
      </w:r>
      <w:proofErr w:type="spellEnd"/>
      <w:r>
        <w:rPr>
          <w:color w:val="0F1115"/>
          <w:sz w:val="28"/>
          <w:szCs w:val="28"/>
        </w:rPr>
        <w:t>, ФГБУ «ФИОКО», 2 человека);</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15 сентября 2025 года – </w:t>
      </w:r>
      <w:proofErr w:type="spellStart"/>
      <w:r>
        <w:rPr>
          <w:color w:val="0F1115"/>
          <w:sz w:val="28"/>
          <w:szCs w:val="28"/>
        </w:rPr>
        <w:t>вебинар</w:t>
      </w:r>
      <w:proofErr w:type="spellEnd"/>
      <w:r>
        <w:rPr>
          <w:color w:val="0F1115"/>
          <w:sz w:val="28"/>
          <w:szCs w:val="28"/>
        </w:rPr>
        <w:t xml:space="preserve"> «Государственная национальная политика и профилактика экстремизма в молодежной среде» в рамках курса «</w:t>
      </w:r>
      <w:proofErr w:type="spellStart"/>
      <w:r>
        <w:rPr>
          <w:color w:val="0F1115"/>
          <w:sz w:val="28"/>
          <w:szCs w:val="28"/>
        </w:rPr>
        <w:t>Этноурок</w:t>
      </w:r>
      <w:proofErr w:type="spellEnd"/>
      <w:r>
        <w:rPr>
          <w:color w:val="0F1115"/>
          <w:sz w:val="28"/>
          <w:szCs w:val="28"/>
        </w:rPr>
        <w:t xml:space="preserve"> «Приморье многонациональное» (Департамент внутренней политики Приморского края, 8 педагогов);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25 сентября 2025 года – рабочая встреча научно-исследовательской экспедиции «Дальневосточный </w:t>
      </w:r>
      <w:proofErr w:type="spellStart"/>
      <w:r>
        <w:rPr>
          <w:color w:val="0F1115"/>
          <w:sz w:val="28"/>
          <w:szCs w:val="28"/>
        </w:rPr>
        <w:t>фронтир</w:t>
      </w:r>
      <w:proofErr w:type="spellEnd"/>
      <w:r>
        <w:rPr>
          <w:color w:val="0F1115"/>
          <w:sz w:val="28"/>
          <w:szCs w:val="28"/>
        </w:rPr>
        <w:t xml:space="preserve">: формирование этноязыковой и </w:t>
      </w:r>
      <w:proofErr w:type="spellStart"/>
      <w:r>
        <w:rPr>
          <w:color w:val="0F1115"/>
          <w:sz w:val="28"/>
          <w:szCs w:val="28"/>
        </w:rPr>
        <w:t>лингвокультурной</w:t>
      </w:r>
      <w:proofErr w:type="spellEnd"/>
      <w:r>
        <w:rPr>
          <w:color w:val="0F1115"/>
          <w:sz w:val="28"/>
          <w:szCs w:val="28"/>
        </w:rPr>
        <w:t xml:space="preserve"> идентичности жителей Приморья» (ФГАОУ ВО «НИУ ВШЭ», 4 педагога);</w:t>
      </w:r>
    </w:p>
    <w:p w:rsidR="00B52DE3" w:rsidRDefault="00DE73E3">
      <w:pPr>
        <w:pStyle w:val="aff8"/>
        <w:widowControl w:val="0"/>
        <w:spacing w:after="0" w:line="360" w:lineRule="auto"/>
        <w:ind w:firstLine="709"/>
        <w:jc w:val="both"/>
        <w:rPr>
          <w:color w:val="0F1115"/>
          <w:sz w:val="28"/>
          <w:szCs w:val="28"/>
        </w:rPr>
      </w:pPr>
      <w:proofErr w:type="spellStart"/>
      <w:r>
        <w:rPr>
          <w:color w:val="0F1115"/>
          <w:sz w:val="28"/>
          <w:szCs w:val="28"/>
        </w:rPr>
        <w:t>вебинар</w:t>
      </w:r>
      <w:proofErr w:type="spellEnd"/>
      <w:r>
        <w:rPr>
          <w:color w:val="0F1115"/>
          <w:sz w:val="28"/>
          <w:szCs w:val="28"/>
        </w:rPr>
        <w:t xml:space="preserve"> по теме «Открытый педсовет: обсуждаем вопросы профориентации» (ГАУ ДПО ПК ИРО, ФГАОУ ВО «ДВФУ»,                                15 участников);</w:t>
      </w:r>
    </w:p>
    <w:p w:rsidR="00B52DE3" w:rsidRDefault="00DE73E3">
      <w:pPr>
        <w:pStyle w:val="aff8"/>
        <w:widowControl w:val="0"/>
        <w:spacing w:after="0" w:line="360" w:lineRule="auto"/>
        <w:ind w:firstLine="709"/>
        <w:jc w:val="both"/>
        <w:rPr>
          <w:color w:val="0F1115"/>
          <w:sz w:val="28"/>
          <w:szCs w:val="28"/>
        </w:rPr>
      </w:pPr>
      <w:proofErr w:type="spellStart"/>
      <w:r>
        <w:rPr>
          <w:color w:val="0F1115"/>
          <w:sz w:val="28"/>
          <w:szCs w:val="28"/>
        </w:rPr>
        <w:t>вебинар</w:t>
      </w:r>
      <w:proofErr w:type="spellEnd"/>
      <w:r>
        <w:rPr>
          <w:color w:val="0F1115"/>
          <w:sz w:val="28"/>
          <w:szCs w:val="28"/>
        </w:rPr>
        <w:t xml:space="preserve"> по теме «Шесть этапов развития фонематического слуха детей» (</w:t>
      </w:r>
      <w:proofErr w:type="spellStart"/>
      <w:r>
        <w:rPr>
          <w:color w:val="0F1115"/>
          <w:sz w:val="28"/>
          <w:szCs w:val="28"/>
        </w:rPr>
        <w:t>ЦППМСп</w:t>
      </w:r>
      <w:proofErr w:type="spellEnd"/>
      <w:r>
        <w:rPr>
          <w:color w:val="0F1115"/>
          <w:sz w:val="28"/>
          <w:szCs w:val="28"/>
        </w:rPr>
        <w:t>, ГАУ ДПО ПК ИРО, 29 участников);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краевой семинар по теме «Ресурсы внеурочной деятельности в формировании исследовательских навыков и </w:t>
      </w:r>
      <w:proofErr w:type="spellStart"/>
      <w:r>
        <w:rPr>
          <w:color w:val="0F1115"/>
          <w:sz w:val="28"/>
          <w:szCs w:val="28"/>
        </w:rPr>
        <w:t>естественно-научной</w:t>
      </w:r>
      <w:proofErr w:type="spellEnd"/>
      <w:r>
        <w:rPr>
          <w:color w:val="0F1115"/>
          <w:sz w:val="28"/>
          <w:szCs w:val="28"/>
        </w:rPr>
        <w:t xml:space="preserve"> грамотности у обучающихся </w:t>
      </w:r>
      <w:proofErr w:type="spellStart"/>
      <w:r>
        <w:rPr>
          <w:color w:val="0F1115"/>
          <w:sz w:val="28"/>
          <w:szCs w:val="28"/>
        </w:rPr>
        <w:t>агроклассов</w:t>
      </w:r>
      <w:proofErr w:type="spellEnd"/>
      <w:r>
        <w:rPr>
          <w:color w:val="0F1115"/>
          <w:sz w:val="28"/>
          <w:szCs w:val="28"/>
        </w:rPr>
        <w:t>» (МБОУ СОШ п. Тавричанка,                   4 участника);</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методический </w:t>
      </w:r>
      <w:proofErr w:type="spellStart"/>
      <w:r>
        <w:rPr>
          <w:color w:val="0F1115"/>
          <w:sz w:val="28"/>
          <w:szCs w:val="28"/>
        </w:rPr>
        <w:t>онлайн-семинар</w:t>
      </w:r>
      <w:proofErr w:type="spellEnd"/>
      <w:r>
        <w:rPr>
          <w:color w:val="0F1115"/>
          <w:sz w:val="28"/>
          <w:szCs w:val="28"/>
        </w:rPr>
        <w:t xml:space="preserve"> по теме «Мониторинг достижения планируемых результатов в форме ВПР-2026: типология ошибок и инструментов снижения образовательной </w:t>
      </w:r>
      <w:proofErr w:type="spellStart"/>
      <w:r>
        <w:rPr>
          <w:color w:val="0F1115"/>
          <w:sz w:val="28"/>
          <w:szCs w:val="28"/>
        </w:rPr>
        <w:t>неуспешности</w:t>
      </w:r>
      <w:proofErr w:type="spellEnd"/>
      <w:r>
        <w:rPr>
          <w:color w:val="0F1115"/>
          <w:sz w:val="28"/>
          <w:szCs w:val="28"/>
        </w:rPr>
        <w:t xml:space="preserve"> младших школьников» (ГАУ ДПО ПК ИРО, 48 участников);</w:t>
      </w:r>
    </w:p>
    <w:p w:rsidR="00B52DE3" w:rsidRDefault="00DE73E3">
      <w:pPr>
        <w:pStyle w:val="aff8"/>
        <w:widowControl w:val="0"/>
        <w:spacing w:after="0" w:line="360" w:lineRule="auto"/>
        <w:ind w:firstLine="709"/>
        <w:jc w:val="both"/>
        <w:rPr>
          <w:color w:val="0F1115"/>
          <w:sz w:val="28"/>
          <w:szCs w:val="28"/>
        </w:rPr>
      </w:pPr>
      <w:r>
        <w:rPr>
          <w:color w:val="0F1115"/>
          <w:sz w:val="28"/>
          <w:szCs w:val="28"/>
        </w:rPr>
        <w:t xml:space="preserve">краевой практический </w:t>
      </w:r>
      <w:proofErr w:type="spellStart"/>
      <w:r>
        <w:rPr>
          <w:color w:val="0F1115"/>
          <w:sz w:val="28"/>
          <w:szCs w:val="28"/>
        </w:rPr>
        <w:t>семинар-интенсив</w:t>
      </w:r>
      <w:proofErr w:type="spellEnd"/>
      <w:r>
        <w:rPr>
          <w:color w:val="0F1115"/>
          <w:sz w:val="28"/>
          <w:szCs w:val="28"/>
        </w:rPr>
        <w:t xml:space="preserve"> «</w:t>
      </w:r>
      <w:proofErr w:type="spellStart"/>
      <w:r>
        <w:rPr>
          <w:color w:val="0F1115"/>
          <w:sz w:val="28"/>
          <w:szCs w:val="28"/>
        </w:rPr>
        <w:t>Нейросети</w:t>
      </w:r>
      <w:proofErr w:type="spellEnd"/>
      <w:r>
        <w:rPr>
          <w:color w:val="0F1115"/>
          <w:sz w:val="28"/>
          <w:szCs w:val="28"/>
        </w:rPr>
        <w:t xml:space="preserve"> как эффективный инструмент ведения </w:t>
      </w:r>
      <w:proofErr w:type="spellStart"/>
      <w:r>
        <w:rPr>
          <w:color w:val="0F1115"/>
          <w:sz w:val="28"/>
          <w:szCs w:val="28"/>
        </w:rPr>
        <w:t>госпабликов</w:t>
      </w:r>
      <w:proofErr w:type="spellEnd"/>
      <w:r>
        <w:rPr>
          <w:color w:val="0F1115"/>
          <w:sz w:val="28"/>
          <w:szCs w:val="28"/>
        </w:rPr>
        <w:t>» (ГАУ ДПО ПК ИРО, 9 участников).</w:t>
      </w:r>
    </w:p>
    <w:p w:rsidR="00B52DE3" w:rsidRDefault="00DE73E3">
      <w:pPr>
        <w:pStyle w:val="aff8"/>
        <w:spacing w:after="0" w:line="360" w:lineRule="auto"/>
        <w:jc w:val="both"/>
        <w:rPr>
          <w:rStyle w:val="aff6"/>
          <w:b w:val="0"/>
          <w:bCs w:val="0"/>
          <w:color w:val="0F1115"/>
          <w:sz w:val="28"/>
          <w:szCs w:val="28"/>
        </w:rPr>
      </w:pPr>
      <w:r>
        <w:rPr>
          <w:rStyle w:val="aff6"/>
          <w:b w:val="0"/>
          <w:bCs w:val="0"/>
          <w:color w:val="0F1115"/>
          <w:sz w:val="28"/>
          <w:szCs w:val="28"/>
        </w:rPr>
        <w:t>Курсы повышения квалификации:</w:t>
      </w:r>
    </w:p>
    <w:p w:rsidR="00B52DE3" w:rsidRDefault="00DE73E3">
      <w:pPr>
        <w:pStyle w:val="aff8"/>
        <w:spacing w:after="0" w:line="360" w:lineRule="auto"/>
        <w:ind w:firstLine="709"/>
        <w:jc w:val="both"/>
        <w:rPr>
          <w:color w:val="0F1115"/>
          <w:sz w:val="28"/>
          <w:szCs w:val="28"/>
        </w:rPr>
      </w:pPr>
      <w:r>
        <w:rPr>
          <w:color w:val="0F1115"/>
          <w:sz w:val="28"/>
          <w:szCs w:val="28"/>
        </w:rPr>
        <w:lastRenderedPageBreak/>
        <w:t>с 17 февраля по 07 марта 2025 года – 11 учителей физики (программа «Совершенствование предметных компетенций учителя физики», ГАУ ДПО ПК ИРО, 36 часов);</w:t>
      </w:r>
    </w:p>
    <w:p w:rsidR="00B52DE3" w:rsidRDefault="00DE73E3">
      <w:pPr>
        <w:pStyle w:val="aff8"/>
        <w:spacing w:after="0" w:line="360" w:lineRule="auto"/>
        <w:ind w:firstLine="709"/>
        <w:jc w:val="both"/>
        <w:rPr>
          <w:color w:val="0F1115"/>
          <w:sz w:val="28"/>
          <w:szCs w:val="28"/>
        </w:rPr>
      </w:pPr>
      <w:r>
        <w:rPr>
          <w:color w:val="0F1115"/>
          <w:sz w:val="28"/>
          <w:szCs w:val="28"/>
        </w:rPr>
        <w:t>с 17 февраля по 07 марта 2025 года – 6 учителей химии (программа «Совершенствование предметных компетенций учителя химии», ГАУ ДПО ПК ИРО, 36 часов);</w:t>
      </w:r>
    </w:p>
    <w:p w:rsidR="00B52DE3" w:rsidRDefault="00DE73E3">
      <w:pPr>
        <w:pStyle w:val="aff8"/>
        <w:spacing w:after="0" w:line="360" w:lineRule="auto"/>
        <w:ind w:firstLine="709"/>
        <w:jc w:val="both"/>
        <w:rPr>
          <w:color w:val="0F1115"/>
          <w:sz w:val="28"/>
          <w:szCs w:val="28"/>
        </w:rPr>
      </w:pPr>
      <w:r>
        <w:rPr>
          <w:color w:val="0F1115"/>
          <w:sz w:val="28"/>
          <w:szCs w:val="28"/>
        </w:rPr>
        <w:t>с 24 февраля по 10 марта 2025 года – 11 педагогов (программа «Стратегии и практики формирования и оценки функциональной грамотности обучающихся на основе результатов мониторинга на уровне ООО», ГАУ ДПО ПК ИРО, 36 часов);</w:t>
      </w:r>
    </w:p>
    <w:p w:rsidR="00B52DE3" w:rsidRDefault="00DE73E3">
      <w:pPr>
        <w:pStyle w:val="aff8"/>
        <w:spacing w:after="0" w:line="360" w:lineRule="auto"/>
        <w:ind w:firstLine="709"/>
        <w:jc w:val="both"/>
        <w:rPr>
          <w:color w:val="0F1115"/>
          <w:sz w:val="28"/>
          <w:szCs w:val="28"/>
        </w:rPr>
      </w:pPr>
      <w:r>
        <w:rPr>
          <w:color w:val="0F1115"/>
          <w:sz w:val="28"/>
          <w:szCs w:val="28"/>
        </w:rPr>
        <w:t>с 03 по 21 марта 2025 года – 2 педагога (программа «Особенности преподавания модуля «Основы православной культуры» в рамках предметной области «Основы религиозных культур и светской этики», ГАУ ДПО ПК ИРО, 36 часов);</w:t>
      </w:r>
    </w:p>
    <w:p w:rsidR="00B52DE3" w:rsidRDefault="00DE73E3">
      <w:pPr>
        <w:pStyle w:val="aff8"/>
        <w:spacing w:after="0" w:line="360" w:lineRule="auto"/>
        <w:ind w:firstLine="709"/>
        <w:jc w:val="both"/>
        <w:rPr>
          <w:color w:val="0F1115"/>
          <w:sz w:val="28"/>
          <w:szCs w:val="28"/>
        </w:rPr>
      </w:pPr>
      <w:r>
        <w:rPr>
          <w:color w:val="0F1115"/>
          <w:sz w:val="28"/>
          <w:szCs w:val="28"/>
        </w:rPr>
        <w:t xml:space="preserve">с 21 марта по 30 апреля 2025 года – 5 педагогов (программа «Организация </w:t>
      </w:r>
      <w:proofErr w:type="spellStart"/>
      <w:r>
        <w:rPr>
          <w:color w:val="0F1115"/>
          <w:sz w:val="28"/>
          <w:szCs w:val="28"/>
        </w:rPr>
        <w:t>профориентационной</w:t>
      </w:r>
      <w:proofErr w:type="spellEnd"/>
      <w:r>
        <w:rPr>
          <w:color w:val="0F1115"/>
          <w:sz w:val="28"/>
          <w:szCs w:val="28"/>
        </w:rPr>
        <w:t xml:space="preserve"> деятельности в психолого-педагогических классах», ГАУ ДПО ПК ИРО, 32 часа);</w:t>
      </w:r>
    </w:p>
    <w:p w:rsidR="00B52DE3" w:rsidRDefault="00DE73E3">
      <w:pPr>
        <w:pStyle w:val="aff8"/>
        <w:spacing w:after="0" w:line="360" w:lineRule="auto"/>
        <w:ind w:firstLine="709"/>
        <w:jc w:val="both"/>
        <w:rPr>
          <w:color w:val="0F1115"/>
          <w:sz w:val="28"/>
          <w:szCs w:val="28"/>
        </w:rPr>
      </w:pPr>
      <w:r>
        <w:rPr>
          <w:color w:val="0F1115"/>
          <w:sz w:val="28"/>
          <w:szCs w:val="28"/>
        </w:rPr>
        <w:t>с 24 по 26 марта 2025 года – 2 педагога (программа «Особенности организации педагогического процесса по обеспечению безопасности детей в сфере дорожного движения в деятельности классного руководителя», ГАУ ДПО ПК ИРО, 16 часов);</w:t>
      </w:r>
    </w:p>
    <w:p w:rsidR="00B52DE3" w:rsidRDefault="00DE73E3">
      <w:pPr>
        <w:pStyle w:val="aff8"/>
        <w:spacing w:after="0" w:line="360" w:lineRule="auto"/>
        <w:ind w:firstLine="709"/>
        <w:jc w:val="both"/>
        <w:rPr>
          <w:color w:val="0F1115"/>
          <w:sz w:val="28"/>
          <w:szCs w:val="28"/>
        </w:rPr>
      </w:pPr>
      <w:r>
        <w:rPr>
          <w:color w:val="0F1115"/>
          <w:sz w:val="28"/>
          <w:szCs w:val="28"/>
        </w:rPr>
        <w:t xml:space="preserve">с 07 апреля по 16 мая 2025 года – 10 учителей химии и биологии (программа «Организационно-методические и содержательные аспекты реализации деятельности специализированных классов. </w:t>
      </w:r>
      <w:proofErr w:type="spellStart"/>
      <w:r>
        <w:rPr>
          <w:color w:val="0F1115"/>
          <w:sz w:val="28"/>
          <w:szCs w:val="28"/>
        </w:rPr>
        <w:t>Агроклассы</w:t>
      </w:r>
      <w:proofErr w:type="spellEnd"/>
      <w:r>
        <w:rPr>
          <w:color w:val="0F1115"/>
          <w:sz w:val="28"/>
          <w:szCs w:val="28"/>
        </w:rPr>
        <w:t>», ГАУ ДПО ПК ИРО, 56 часов);</w:t>
      </w:r>
    </w:p>
    <w:p w:rsidR="00B52DE3" w:rsidRDefault="00DE73E3">
      <w:pPr>
        <w:pStyle w:val="aff8"/>
        <w:spacing w:after="0" w:line="360" w:lineRule="auto"/>
        <w:ind w:firstLine="709"/>
        <w:jc w:val="both"/>
        <w:rPr>
          <w:color w:val="0F1115"/>
          <w:sz w:val="28"/>
          <w:szCs w:val="28"/>
        </w:rPr>
      </w:pPr>
      <w:r>
        <w:rPr>
          <w:color w:val="0F1115"/>
          <w:sz w:val="28"/>
          <w:szCs w:val="28"/>
        </w:rPr>
        <w:t>с 07 апреля по 16 мая 2025 года – 5 учителей физики, биологии, химии, информатики, технологии (программа «Организационные и содержательные аспекты работы в инженерных классах «Нобелевские классы», ГАУ ДПО ПК ИРО, 56 часов);</w:t>
      </w:r>
    </w:p>
    <w:p w:rsidR="00B52DE3" w:rsidRDefault="00DE73E3">
      <w:pPr>
        <w:pStyle w:val="aff8"/>
        <w:spacing w:after="0" w:line="360" w:lineRule="auto"/>
        <w:ind w:firstLine="709"/>
        <w:jc w:val="both"/>
        <w:rPr>
          <w:color w:val="0F1115"/>
          <w:sz w:val="28"/>
          <w:szCs w:val="28"/>
        </w:rPr>
      </w:pPr>
      <w:r>
        <w:rPr>
          <w:color w:val="0F1115"/>
          <w:sz w:val="28"/>
          <w:szCs w:val="28"/>
        </w:rPr>
        <w:lastRenderedPageBreak/>
        <w:t>с 16 апреля по 07 мая 2025 года – 2 учителя биологии (программа «Современная концепция преподавания биологии в общеобразовательной организации», БГПУ, г. Благовещенск, 36 часов);</w:t>
      </w:r>
    </w:p>
    <w:p w:rsidR="00B52DE3" w:rsidRDefault="00DE73E3">
      <w:pPr>
        <w:pStyle w:val="aff8"/>
        <w:spacing w:after="0" w:line="360" w:lineRule="auto"/>
        <w:ind w:firstLine="709"/>
        <w:jc w:val="both"/>
        <w:rPr>
          <w:color w:val="0F1115"/>
          <w:sz w:val="28"/>
          <w:szCs w:val="28"/>
        </w:rPr>
      </w:pPr>
      <w:r>
        <w:rPr>
          <w:color w:val="0F1115"/>
          <w:sz w:val="28"/>
          <w:szCs w:val="28"/>
        </w:rPr>
        <w:t>с 21 по 30 апреля 2025 года – 6 учителей ОБЗР (программа «Совершенствование предметных компетенций учителя ОБЗР», ГАУ ДПО ПК ИРО, 36 часов);</w:t>
      </w:r>
    </w:p>
    <w:p w:rsidR="00B52DE3" w:rsidRDefault="00DE73E3">
      <w:pPr>
        <w:pStyle w:val="aff8"/>
        <w:spacing w:after="0" w:line="360" w:lineRule="auto"/>
        <w:ind w:firstLine="709"/>
        <w:jc w:val="both"/>
        <w:rPr>
          <w:color w:val="0F1115"/>
          <w:sz w:val="28"/>
          <w:szCs w:val="28"/>
        </w:rPr>
      </w:pPr>
      <w:r>
        <w:rPr>
          <w:color w:val="0F1115"/>
          <w:sz w:val="28"/>
          <w:szCs w:val="28"/>
        </w:rPr>
        <w:t>с 24 апреля по 05 мая 2025 года – 3 учителя химии (программа «Современная концепция преподавания химии в общеобразовательной организации», БГПУ, г. Благовещенск, 36 часов);</w:t>
      </w:r>
    </w:p>
    <w:p w:rsidR="00B52DE3" w:rsidRDefault="00DE73E3">
      <w:pPr>
        <w:pStyle w:val="aff8"/>
        <w:spacing w:after="0" w:line="360" w:lineRule="auto"/>
        <w:ind w:firstLine="709"/>
        <w:jc w:val="both"/>
        <w:rPr>
          <w:color w:val="0F1115"/>
          <w:sz w:val="28"/>
          <w:szCs w:val="28"/>
        </w:rPr>
      </w:pPr>
      <w:r>
        <w:rPr>
          <w:color w:val="0F1115"/>
          <w:sz w:val="28"/>
          <w:szCs w:val="28"/>
        </w:rPr>
        <w:t>с 29 апреля по 27 мая 2025 года – 39 учителей математики, информатики, физики, биологии, химии (программа «Современные достижения отечественной науки для обеспечения технологического суверенитета страны», ЦЭ ДПО ФГАОУ ВО «Государственный университет просвещения», 28 часов);</w:t>
      </w:r>
    </w:p>
    <w:p w:rsidR="00B52DE3" w:rsidRDefault="00DE73E3">
      <w:pPr>
        <w:pStyle w:val="aff8"/>
        <w:spacing w:after="0" w:line="360" w:lineRule="auto"/>
        <w:ind w:firstLine="709"/>
        <w:jc w:val="both"/>
        <w:rPr>
          <w:color w:val="0F1115"/>
          <w:sz w:val="28"/>
          <w:szCs w:val="28"/>
        </w:rPr>
      </w:pPr>
      <w:r>
        <w:rPr>
          <w:color w:val="0F1115"/>
          <w:sz w:val="28"/>
          <w:szCs w:val="28"/>
        </w:rPr>
        <w:t xml:space="preserve">март-май 2025 года – 3 учителя «Точек роста», IT-куб, </w:t>
      </w:r>
      <w:proofErr w:type="spellStart"/>
      <w:r>
        <w:rPr>
          <w:color w:val="0F1115"/>
          <w:sz w:val="28"/>
          <w:szCs w:val="28"/>
        </w:rPr>
        <w:t>Кванториум</w:t>
      </w:r>
      <w:proofErr w:type="spellEnd"/>
      <w:r>
        <w:rPr>
          <w:color w:val="0F1115"/>
          <w:sz w:val="28"/>
          <w:szCs w:val="28"/>
        </w:rPr>
        <w:t xml:space="preserve"> (программа «Кадры для беспилотных авиационных систем», Приморский ГАТУ, 144 часа);</w:t>
      </w:r>
    </w:p>
    <w:p w:rsidR="00B52DE3" w:rsidRDefault="00DE73E3">
      <w:pPr>
        <w:pStyle w:val="aff8"/>
        <w:spacing w:after="0" w:line="360" w:lineRule="auto"/>
        <w:ind w:firstLine="709"/>
        <w:jc w:val="both"/>
        <w:rPr>
          <w:color w:val="0F1115"/>
          <w:sz w:val="28"/>
          <w:szCs w:val="28"/>
        </w:rPr>
      </w:pPr>
      <w:r>
        <w:rPr>
          <w:color w:val="0F1115"/>
          <w:sz w:val="28"/>
          <w:szCs w:val="28"/>
        </w:rPr>
        <w:t>в течение 2025 года – 5 педагогов (дистанционный курс «Финансовая грамотность», Дальневосточный ГУ Банка России);</w:t>
      </w:r>
    </w:p>
    <w:p w:rsidR="00B52DE3" w:rsidRDefault="00DE73E3">
      <w:pPr>
        <w:pStyle w:val="aff8"/>
        <w:spacing w:after="0" w:line="360" w:lineRule="auto"/>
        <w:ind w:firstLine="709"/>
        <w:jc w:val="both"/>
        <w:rPr>
          <w:color w:val="0F1115"/>
          <w:sz w:val="28"/>
          <w:szCs w:val="28"/>
        </w:rPr>
      </w:pPr>
      <w:r>
        <w:rPr>
          <w:color w:val="0F1115"/>
          <w:sz w:val="28"/>
          <w:szCs w:val="28"/>
        </w:rPr>
        <w:t>с 12 по 23 мая 2025 года – 4 учителя географии (программа «Совершенствование предметных компетенций учителя географии (базовый уровень)», ГАУ ДПО ПК ИРО, 36 часов);</w:t>
      </w:r>
    </w:p>
    <w:p w:rsidR="00B52DE3" w:rsidRDefault="00DE73E3">
      <w:pPr>
        <w:pStyle w:val="aff8"/>
        <w:spacing w:after="0" w:line="360" w:lineRule="auto"/>
        <w:ind w:firstLine="709"/>
        <w:jc w:val="both"/>
        <w:rPr>
          <w:color w:val="0F1115"/>
          <w:sz w:val="28"/>
          <w:szCs w:val="28"/>
        </w:rPr>
      </w:pPr>
      <w:r>
        <w:rPr>
          <w:color w:val="0F1115"/>
          <w:sz w:val="28"/>
          <w:szCs w:val="28"/>
        </w:rPr>
        <w:t>с 12 по 31 мая 2025 года – 4 учителя биологии (программа «Современная концепция преподавания биологии в общеобразовательной организации», БГПУ, г. Благовещенск, 36 часов);</w:t>
      </w:r>
    </w:p>
    <w:p w:rsidR="00B52DE3" w:rsidRDefault="00DE73E3">
      <w:pPr>
        <w:pStyle w:val="aff8"/>
        <w:spacing w:after="0" w:line="360" w:lineRule="auto"/>
        <w:ind w:firstLine="709"/>
        <w:jc w:val="both"/>
        <w:rPr>
          <w:color w:val="0F1115"/>
          <w:sz w:val="28"/>
          <w:szCs w:val="28"/>
        </w:rPr>
      </w:pPr>
      <w:r>
        <w:rPr>
          <w:color w:val="0F1115"/>
          <w:sz w:val="28"/>
          <w:szCs w:val="28"/>
        </w:rPr>
        <w:t>с 12 по 31 мая 2025 года – 3 учителя физики (программа «Современная концепция преподавания физики в общеобразовательной организации», БГПУ, г. Благовещенск, 36 часов);</w:t>
      </w:r>
    </w:p>
    <w:p w:rsidR="00B52DE3" w:rsidRDefault="00DE73E3">
      <w:pPr>
        <w:pStyle w:val="aff8"/>
        <w:spacing w:after="0" w:line="360" w:lineRule="auto"/>
        <w:ind w:firstLine="709"/>
        <w:jc w:val="both"/>
        <w:rPr>
          <w:color w:val="0F1115"/>
          <w:sz w:val="28"/>
          <w:szCs w:val="28"/>
        </w:rPr>
      </w:pPr>
      <w:r>
        <w:rPr>
          <w:color w:val="0F1115"/>
          <w:sz w:val="28"/>
          <w:szCs w:val="28"/>
        </w:rPr>
        <w:lastRenderedPageBreak/>
        <w:t>с 12 по 31 мая 2025 года – 4 учителя математики (программа «Современная концепция преподавания математики в общеобразовательной организации», БГПУ, г. Благовещенск, 36 часов);</w:t>
      </w:r>
    </w:p>
    <w:p w:rsidR="00B52DE3" w:rsidRDefault="00DE73E3">
      <w:pPr>
        <w:pStyle w:val="aff8"/>
        <w:spacing w:after="0" w:line="360" w:lineRule="auto"/>
        <w:ind w:firstLine="709"/>
        <w:jc w:val="both"/>
        <w:rPr>
          <w:color w:val="0F1115"/>
          <w:sz w:val="28"/>
          <w:szCs w:val="28"/>
        </w:rPr>
      </w:pPr>
      <w:r>
        <w:rPr>
          <w:color w:val="0F1115"/>
          <w:sz w:val="28"/>
          <w:szCs w:val="28"/>
        </w:rPr>
        <w:t>с 12 по 31 мая 2025 года – 2 учителя информатики (программа «Современная концепция преподавания информатики в общеобразовательной организации», БГПУ, г. Благовещенск, 36 часов);</w:t>
      </w:r>
    </w:p>
    <w:p w:rsidR="00B52DE3" w:rsidRDefault="00DE73E3">
      <w:pPr>
        <w:pStyle w:val="aff8"/>
        <w:spacing w:after="0" w:line="360" w:lineRule="auto"/>
        <w:ind w:firstLine="709"/>
        <w:jc w:val="both"/>
        <w:rPr>
          <w:color w:val="0F1115"/>
          <w:sz w:val="28"/>
          <w:szCs w:val="28"/>
        </w:rPr>
      </w:pPr>
      <w:r>
        <w:rPr>
          <w:color w:val="0F1115"/>
          <w:sz w:val="28"/>
          <w:szCs w:val="28"/>
        </w:rPr>
        <w:t>с 26 по 30 мая 2025 года – 12 педагогов (программа «Навыки оказания первой помощи», КГА ПОУ «Приморский многопрофильный колледж»,                36 часов);</w:t>
      </w:r>
    </w:p>
    <w:p w:rsidR="00B52DE3" w:rsidRDefault="00DE73E3">
      <w:pPr>
        <w:pStyle w:val="aff8"/>
        <w:spacing w:after="0" w:line="360" w:lineRule="auto"/>
        <w:ind w:firstLine="709"/>
        <w:jc w:val="both"/>
        <w:rPr>
          <w:color w:val="0F1115"/>
          <w:sz w:val="28"/>
          <w:szCs w:val="28"/>
        </w:rPr>
      </w:pPr>
      <w:r>
        <w:rPr>
          <w:color w:val="0F1115"/>
          <w:sz w:val="28"/>
          <w:szCs w:val="28"/>
        </w:rPr>
        <w:t>с 30 мая по 13 июня 2025 года – 3 педагога (программа «Искусство театра», ГАУ ДПО ПК ИРО, РМЦ Приморского края, 72 часа);</w:t>
      </w:r>
    </w:p>
    <w:p w:rsidR="00B52DE3" w:rsidRDefault="00DE73E3">
      <w:pPr>
        <w:pStyle w:val="aff8"/>
        <w:spacing w:after="0" w:line="360" w:lineRule="auto"/>
        <w:ind w:firstLine="709"/>
        <w:jc w:val="both"/>
        <w:rPr>
          <w:color w:val="0F1115"/>
          <w:sz w:val="28"/>
          <w:szCs w:val="28"/>
        </w:rPr>
      </w:pPr>
      <w:r>
        <w:rPr>
          <w:color w:val="0F1115"/>
          <w:sz w:val="28"/>
          <w:szCs w:val="28"/>
        </w:rPr>
        <w:t>с 08 по 20 сентября 2025 года – 1 педагог (программа «Современная концепция преподавания физики в общеобразовательной организации»);</w:t>
      </w:r>
    </w:p>
    <w:p w:rsidR="00B52DE3" w:rsidRDefault="00DE73E3">
      <w:pPr>
        <w:pStyle w:val="aff8"/>
        <w:spacing w:after="0" w:line="360" w:lineRule="auto"/>
        <w:ind w:firstLine="709"/>
        <w:jc w:val="both"/>
        <w:rPr>
          <w:color w:val="0F1115"/>
          <w:sz w:val="28"/>
          <w:szCs w:val="28"/>
        </w:rPr>
      </w:pPr>
      <w:r>
        <w:rPr>
          <w:color w:val="0F1115"/>
          <w:sz w:val="28"/>
          <w:szCs w:val="28"/>
        </w:rPr>
        <w:t>с 08 по 19 сентября 2025 года – 3 педагога (программа «Совершенствование предметных компетенций учителя географии (базовый уровень)»);</w:t>
      </w:r>
    </w:p>
    <w:p w:rsidR="00B52DE3" w:rsidRDefault="00DE73E3">
      <w:pPr>
        <w:pStyle w:val="aff8"/>
        <w:spacing w:after="0" w:line="360" w:lineRule="auto"/>
        <w:ind w:firstLine="709"/>
        <w:jc w:val="both"/>
        <w:rPr>
          <w:color w:val="0F1115"/>
          <w:sz w:val="28"/>
          <w:szCs w:val="28"/>
        </w:rPr>
      </w:pPr>
      <w:r>
        <w:rPr>
          <w:color w:val="0F1115"/>
          <w:sz w:val="28"/>
          <w:szCs w:val="28"/>
        </w:rPr>
        <w:t>с 15 по 26 сентября 2025 года – 3 педагога (программа «Совершенствование предметных компетенций учителя предмета «Труд (технология)». Модуль «Компьютерная графика. Черчение»);</w:t>
      </w:r>
    </w:p>
    <w:p w:rsidR="00B52DE3" w:rsidRDefault="00DE73E3">
      <w:pPr>
        <w:pStyle w:val="aff8"/>
        <w:spacing w:after="0" w:line="360" w:lineRule="auto"/>
        <w:ind w:firstLine="709"/>
        <w:jc w:val="both"/>
        <w:rPr>
          <w:color w:val="0F1115"/>
          <w:sz w:val="28"/>
          <w:szCs w:val="28"/>
        </w:rPr>
      </w:pPr>
      <w:r>
        <w:rPr>
          <w:color w:val="0F1115"/>
          <w:sz w:val="28"/>
          <w:szCs w:val="28"/>
        </w:rPr>
        <w:t xml:space="preserve">с 16 сентября по 16 октября 2025 года – 17 педагогов (программа «Использование библиотеки цифрового образовательного </w:t>
      </w:r>
      <w:proofErr w:type="spellStart"/>
      <w:r>
        <w:rPr>
          <w:color w:val="0F1115"/>
          <w:sz w:val="28"/>
          <w:szCs w:val="28"/>
        </w:rPr>
        <w:t>контента</w:t>
      </w:r>
      <w:proofErr w:type="spellEnd"/>
      <w:r>
        <w:rPr>
          <w:color w:val="0F1115"/>
          <w:sz w:val="28"/>
          <w:szCs w:val="28"/>
        </w:rPr>
        <w:t xml:space="preserve"> в учебной деятельности»);</w:t>
      </w:r>
    </w:p>
    <w:p w:rsidR="00B52DE3" w:rsidRDefault="00DE73E3">
      <w:pPr>
        <w:pStyle w:val="aff8"/>
        <w:spacing w:after="0" w:line="360" w:lineRule="auto"/>
        <w:ind w:firstLine="709"/>
        <w:jc w:val="both"/>
        <w:rPr>
          <w:color w:val="0F1115"/>
          <w:sz w:val="28"/>
          <w:szCs w:val="28"/>
        </w:rPr>
      </w:pPr>
      <w:r>
        <w:rPr>
          <w:color w:val="0F1115"/>
          <w:sz w:val="28"/>
          <w:szCs w:val="28"/>
        </w:rPr>
        <w:t>с 19 сентября по 6 октября 2025 года – 3 педагога (программа «Организация и осуществление воспитательного процесса советником директора по воспитанию в образовательной организации»);</w:t>
      </w:r>
    </w:p>
    <w:p w:rsidR="00B52DE3" w:rsidRDefault="00DE73E3">
      <w:pPr>
        <w:pStyle w:val="aff8"/>
        <w:spacing w:after="0" w:line="360" w:lineRule="auto"/>
        <w:ind w:firstLine="709"/>
        <w:jc w:val="both"/>
        <w:rPr>
          <w:color w:val="0F1115"/>
          <w:sz w:val="28"/>
          <w:szCs w:val="28"/>
        </w:rPr>
      </w:pPr>
      <w:r>
        <w:rPr>
          <w:color w:val="0F1115"/>
          <w:sz w:val="28"/>
          <w:szCs w:val="28"/>
        </w:rPr>
        <w:t xml:space="preserve">с 22 сентября по 10 октября 2025 года – 1 педагог (программа «Введение в методику диагностики, интеграции и обучения </w:t>
      </w:r>
      <w:proofErr w:type="spellStart"/>
      <w:r>
        <w:rPr>
          <w:color w:val="0F1115"/>
          <w:sz w:val="28"/>
          <w:szCs w:val="28"/>
        </w:rPr>
        <w:t>детей-инофонов</w:t>
      </w:r>
      <w:proofErr w:type="spellEnd"/>
      <w:r>
        <w:rPr>
          <w:color w:val="0F1115"/>
          <w:sz w:val="28"/>
          <w:szCs w:val="28"/>
        </w:rPr>
        <w:t xml:space="preserve"> по русскому языку»);</w:t>
      </w:r>
    </w:p>
    <w:p w:rsidR="00B52DE3" w:rsidRDefault="00DE73E3">
      <w:pPr>
        <w:pStyle w:val="aff8"/>
        <w:spacing w:after="0" w:line="360" w:lineRule="auto"/>
        <w:ind w:firstLine="709"/>
        <w:jc w:val="both"/>
        <w:rPr>
          <w:color w:val="0F1115"/>
          <w:sz w:val="28"/>
          <w:szCs w:val="28"/>
        </w:rPr>
      </w:pPr>
      <w:r>
        <w:rPr>
          <w:color w:val="0F1115"/>
          <w:sz w:val="28"/>
          <w:szCs w:val="28"/>
        </w:rPr>
        <w:lastRenderedPageBreak/>
        <w:t>с 22 сентября по 16 октября 2025 года – 3 педагога (программа «Медиативный подход в разрешении школьных конфликтов»);</w:t>
      </w:r>
    </w:p>
    <w:p w:rsidR="00B52DE3" w:rsidRDefault="00DE73E3">
      <w:pPr>
        <w:pStyle w:val="aff8"/>
        <w:spacing w:after="0" w:line="360" w:lineRule="auto"/>
        <w:ind w:firstLine="709"/>
        <w:jc w:val="both"/>
        <w:rPr>
          <w:color w:val="0F1115"/>
          <w:sz w:val="28"/>
          <w:szCs w:val="28"/>
        </w:rPr>
      </w:pPr>
      <w:r>
        <w:rPr>
          <w:color w:val="0F1115"/>
          <w:sz w:val="28"/>
          <w:szCs w:val="28"/>
        </w:rPr>
        <w:t>с 06 октября по 06 ноября 2025 года – 1 педагог (программа «Совершенствование предметных компетенций учителя биологии (базовый уровень)»);</w:t>
      </w:r>
    </w:p>
    <w:p w:rsidR="00B52DE3" w:rsidRDefault="00DE73E3">
      <w:pPr>
        <w:pStyle w:val="aff8"/>
        <w:spacing w:after="0" w:line="360" w:lineRule="auto"/>
        <w:ind w:firstLine="709"/>
        <w:jc w:val="both"/>
        <w:rPr>
          <w:color w:val="0F1115"/>
          <w:sz w:val="28"/>
          <w:szCs w:val="28"/>
        </w:rPr>
      </w:pPr>
      <w:r>
        <w:rPr>
          <w:color w:val="0F1115"/>
          <w:sz w:val="28"/>
          <w:szCs w:val="28"/>
        </w:rPr>
        <w:t>с 13 октября по 3 ноября 2025 года – 2 педагога (программа «Совершенствование предметных компетенций учителя русского языка»);</w:t>
      </w:r>
    </w:p>
    <w:p w:rsidR="00B52DE3" w:rsidRDefault="00DE73E3">
      <w:pPr>
        <w:pStyle w:val="aff8"/>
        <w:spacing w:after="0" w:line="360" w:lineRule="auto"/>
        <w:ind w:firstLine="709"/>
        <w:jc w:val="both"/>
        <w:rPr>
          <w:color w:val="0F1115"/>
          <w:sz w:val="28"/>
          <w:szCs w:val="28"/>
        </w:rPr>
      </w:pPr>
      <w:r>
        <w:rPr>
          <w:color w:val="0F1115"/>
          <w:sz w:val="28"/>
          <w:szCs w:val="28"/>
        </w:rPr>
        <w:t xml:space="preserve">с 10 октября по 13 ноября 2025 года – 3 педагога (программа «Использование </w:t>
      </w:r>
      <w:proofErr w:type="spellStart"/>
      <w:r>
        <w:rPr>
          <w:color w:val="0F1115"/>
          <w:sz w:val="28"/>
          <w:szCs w:val="28"/>
        </w:rPr>
        <w:t>ИИ-технологий</w:t>
      </w:r>
      <w:proofErr w:type="spellEnd"/>
      <w:r>
        <w:rPr>
          <w:color w:val="0F1115"/>
          <w:sz w:val="28"/>
          <w:szCs w:val="28"/>
        </w:rPr>
        <w:t xml:space="preserve"> в образовании»);</w:t>
      </w:r>
    </w:p>
    <w:p w:rsidR="00B52DE3" w:rsidRDefault="00DE73E3">
      <w:pPr>
        <w:pStyle w:val="aff8"/>
        <w:spacing w:after="0" w:line="360" w:lineRule="auto"/>
        <w:ind w:firstLine="709"/>
        <w:jc w:val="both"/>
        <w:rPr>
          <w:color w:val="0F1115"/>
          <w:sz w:val="28"/>
          <w:szCs w:val="28"/>
        </w:rPr>
      </w:pPr>
      <w:r>
        <w:rPr>
          <w:color w:val="0F1115"/>
          <w:sz w:val="28"/>
          <w:szCs w:val="28"/>
        </w:rPr>
        <w:t>с 20 октября по 7 ноября 2025 года – 1 педагог (программа «Методические аспекты по выполнению индивидуального проекта обучающихся в условиях ФГОС»);</w:t>
      </w:r>
    </w:p>
    <w:p w:rsidR="00B52DE3" w:rsidRDefault="00DE73E3">
      <w:pPr>
        <w:pStyle w:val="aff8"/>
        <w:spacing w:after="0" w:line="360" w:lineRule="auto"/>
        <w:ind w:firstLine="709"/>
        <w:jc w:val="both"/>
        <w:rPr>
          <w:color w:val="0F1115"/>
          <w:sz w:val="28"/>
          <w:szCs w:val="28"/>
        </w:rPr>
      </w:pPr>
      <w:r>
        <w:rPr>
          <w:color w:val="0F1115"/>
          <w:sz w:val="28"/>
          <w:szCs w:val="28"/>
        </w:rPr>
        <w:t>с 20 октября по 14 ноября 2025 года – 6 педагогов (программа «Совершенствование предметных компетенций учителя химии (базовый уровень)»);</w:t>
      </w:r>
    </w:p>
    <w:p w:rsidR="00B52DE3" w:rsidRDefault="00DE73E3">
      <w:pPr>
        <w:pStyle w:val="aff8"/>
        <w:spacing w:after="0" w:line="360" w:lineRule="auto"/>
        <w:ind w:firstLine="709"/>
        <w:jc w:val="both"/>
        <w:rPr>
          <w:color w:val="0F1115"/>
          <w:sz w:val="28"/>
          <w:szCs w:val="28"/>
        </w:rPr>
      </w:pPr>
      <w:r>
        <w:rPr>
          <w:color w:val="0F1115"/>
          <w:sz w:val="28"/>
          <w:szCs w:val="28"/>
        </w:rPr>
        <w:t>с 28 октября по 7 ноября 2025 года – 16 педагогов (программа «Совершенствование предметных компетенций учителя английского языка (базовый уровень)»);</w:t>
      </w:r>
    </w:p>
    <w:p w:rsidR="00B52DE3" w:rsidRDefault="00DE73E3">
      <w:pPr>
        <w:pStyle w:val="aff8"/>
        <w:spacing w:after="0" w:line="360" w:lineRule="auto"/>
        <w:ind w:firstLine="709"/>
        <w:jc w:val="both"/>
        <w:rPr>
          <w:color w:val="0F1115"/>
          <w:sz w:val="28"/>
          <w:szCs w:val="28"/>
        </w:rPr>
      </w:pPr>
      <w:r>
        <w:rPr>
          <w:color w:val="0F1115"/>
          <w:sz w:val="28"/>
          <w:szCs w:val="28"/>
        </w:rPr>
        <w:t>с 03 ноября по 03 декабря 2025 года – 1 педагог (программа «Содержательные аспекты подготовки учащихся к ОГЭ по информатике»);</w:t>
      </w:r>
    </w:p>
    <w:p w:rsidR="00B52DE3" w:rsidRDefault="00DE73E3">
      <w:pPr>
        <w:pStyle w:val="aff8"/>
        <w:spacing w:after="0" w:line="360" w:lineRule="auto"/>
        <w:ind w:firstLine="709"/>
        <w:jc w:val="both"/>
        <w:rPr>
          <w:color w:val="0F1115"/>
          <w:sz w:val="28"/>
          <w:szCs w:val="28"/>
        </w:rPr>
      </w:pPr>
      <w:r>
        <w:rPr>
          <w:color w:val="0F1115"/>
          <w:sz w:val="28"/>
          <w:szCs w:val="28"/>
        </w:rPr>
        <w:t>с 05 по 28 ноября 2025 года – 3 педагога (программа «Совершенствование предметных компетенций учителя русского языка»);</w:t>
      </w:r>
    </w:p>
    <w:p w:rsidR="00B52DE3" w:rsidRDefault="00DE73E3">
      <w:pPr>
        <w:pStyle w:val="aff8"/>
        <w:spacing w:after="0" w:line="360" w:lineRule="auto"/>
        <w:ind w:firstLine="709"/>
        <w:jc w:val="both"/>
        <w:rPr>
          <w:color w:val="0F1115"/>
          <w:sz w:val="28"/>
          <w:szCs w:val="28"/>
        </w:rPr>
      </w:pPr>
      <w:r>
        <w:rPr>
          <w:color w:val="0F1115"/>
          <w:sz w:val="28"/>
          <w:szCs w:val="28"/>
        </w:rPr>
        <w:t>с 07 ноября по 05 декабря 2025 года – 3 педагога (программа «Основы 3D-моделирования»);</w:t>
      </w:r>
    </w:p>
    <w:p w:rsidR="00B52DE3" w:rsidRDefault="00DE73E3">
      <w:pPr>
        <w:pStyle w:val="aff8"/>
        <w:spacing w:after="0" w:line="360" w:lineRule="auto"/>
        <w:ind w:firstLine="709"/>
        <w:jc w:val="both"/>
        <w:rPr>
          <w:color w:val="0F1115"/>
          <w:sz w:val="28"/>
          <w:szCs w:val="28"/>
        </w:rPr>
      </w:pPr>
      <w:r>
        <w:rPr>
          <w:color w:val="0F1115"/>
          <w:sz w:val="28"/>
          <w:szCs w:val="28"/>
        </w:rPr>
        <w:t xml:space="preserve">с 10 по 28 ноября 2025 года – 6 педагогов (программа «Инновации и практики в использовании современного оборудования в </w:t>
      </w:r>
      <w:proofErr w:type="spellStart"/>
      <w:r>
        <w:rPr>
          <w:color w:val="0F1115"/>
          <w:sz w:val="28"/>
          <w:szCs w:val="28"/>
        </w:rPr>
        <w:t>агроклассах</w:t>
      </w:r>
      <w:proofErr w:type="spellEnd"/>
      <w:r>
        <w:rPr>
          <w:color w:val="0F1115"/>
          <w:sz w:val="28"/>
          <w:szCs w:val="28"/>
        </w:rPr>
        <w:t xml:space="preserve"> приморской школы»);</w:t>
      </w:r>
    </w:p>
    <w:p w:rsidR="00B52DE3" w:rsidRDefault="00DE73E3">
      <w:pPr>
        <w:pStyle w:val="aff8"/>
        <w:spacing w:after="0" w:line="360" w:lineRule="auto"/>
        <w:ind w:firstLine="709"/>
        <w:jc w:val="both"/>
        <w:rPr>
          <w:color w:val="0F1115"/>
          <w:sz w:val="28"/>
          <w:szCs w:val="28"/>
        </w:rPr>
      </w:pPr>
      <w:r>
        <w:rPr>
          <w:color w:val="0F1115"/>
          <w:sz w:val="28"/>
          <w:szCs w:val="28"/>
        </w:rPr>
        <w:lastRenderedPageBreak/>
        <w:t>с 17 по 28 ноября 2025 года – 9 педагогов (программа «Стратегии и практики формирования и оценки функциональной грамотности обучающихся на основе результатов мониторинга на уровне ООО»);</w:t>
      </w:r>
    </w:p>
    <w:p w:rsidR="00B52DE3" w:rsidRDefault="00DE73E3">
      <w:pPr>
        <w:pStyle w:val="aff8"/>
        <w:spacing w:after="0" w:line="360" w:lineRule="auto"/>
        <w:ind w:firstLine="709"/>
        <w:jc w:val="both"/>
        <w:rPr>
          <w:color w:val="0F1115"/>
          <w:sz w:val="28"/>
          <w:szCs w:val="28"/>
        </w:rPr>
      </w:pPr>
      <w:r>
        <w:rPr>
          <w:color w:val="0F1115"/>
          <w:sz w:val="28"/>
          <w:szCs w:val="28"/>
        </w:rPr>
        <w:t>с 20 ноября по 08 декабря 2025 года – 2 педагога (программа «Использование инструментов искусственного интеллекта в работе учителя»);</w:t>
      </w:r>
    </w:p>
    <w:p w:rsidR="00B52DE3" w:rsidRDefault="00DE73E3">
      <w:pPr>
        <w:pStyle w:val="aff8"/>
        <w:spacing w:after="0" w:line="360" w:lineRule="auto"/>
        <w:ind w:firstLine="709"/>
        <w:jc w:val="both"/>
        <w:rPr>
          <w:color w:val="0F1115"/>
          <w:sz w:val="28"/>
          <w:szCs w:val="28"/>
        </w:rPr>
      </w:pPr>
      <w:r>
        <w:rPr>
          <w:color w:val="0F1115"/>
          <w:sz w:val="28"/>
          <w:szCs w:val="28"/>
        </w:rPr>
        <w:t>с 24 ноября по 04 декабря 2025 года – 5 педагогов (программа «Совершенствование предметных компетенций учителя музыки»);</w:t>
      </w:r>
    </w:p>
    <w:p w:rsidR="00B52DE3" w:rsidRDefault="00DE73E3">
      <w:pPr>
        <w:pStyle w:val="aff8"/>
        <w:spacing w:after="0" w:line="360" w:lineRule="auto"/>
        <w:ind w:firstLine="709"/>
        <w:jc w:val="both"/>
        <w:rPr>
          <w:color w:val="0F1115"/>
          <w:sz w:val="28"/>
          <w:szCs w:val="28"/>
        </w:rPr>
      </w:pPr>
      <w:r>
        <w:rPr>
          <w:color w:val="0F1115"/>
          <w:sz w:val="28"/>
          <w:szCs w:val="28"/>
        </w:rPr>
        <w:t>с 04 по 05 декабря 2025 года – 6 педагогов (программа «Совершенствование предметных компетенций учителя английского языка»);</w:t>
      </w:r>
    </w:p>
    <w:p w:rsidR="00B52DE3" w:rsidRDefault="00DE73E3">
      <w:pPr>
        <w:pStyle w:val="aff8"/>
        <w:spacing w:after="0" w:line="360" w:lineRule="auto"/>
        <w:ind w:firstLine="709"/>
        <w:jc w:val="both"/>
        <w:rPr>
          <w:color w:val="0F1115"/>
          <w:sz w:val="28"/>
          <w:szCs w:val="28"/>
        </w:rPr>
      </w:pPr>
      <w:r>
        <w:rPr>
          <w:color w:val="0F1115"/>
          <w:sz w:val="28"/>
          <w:szCs w:val="28"/>
        </w:rPr>
        <w:t>с 08 по 22 декабря 2025 года – 5 педагогов (программа «Профилактика общественно опасного поведения обучающихся в условиях образовательной организации»).</w:t>
      </w:r>
    </w:p>
    <w:p w:rsidR="00B52DE3" w:rsidRDefault="00B52DE3">
      <w:pPr>
        <w:widowControl w:val="0"/>
        <w:spacing w:after="0" w:line="360" w:lineRule="auto"/>
        <w:ind w:firstLine="709"/>
        <w:jc w:val="both"/>
        <w:rPr>
          <w:rFonts w:ascii="Times New Roman" w:eastAsia="Times New Roman" w:hAnsi="Times New Roman" w:cs="Times New Roman"/>
          <w:sz w:val="28"/>
          <w:szCs w:val="28"/>
        </w:rPr>
      </w:pP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bCs/>
          <w:color w:val="000000"/>
          <w:sz w:val="28"/>
          <w:szCs w:val="28"/>
        </w:rPr>
        <w:t>Формирование системы профессиональных конкурсов в целях предоставления гражданам возможностей для профессионального и карьерного роста</w:t>
      </w:r>
    </w:p>
    <w:p w:rsidR="00B52DE3" w:rsidRDefault="00B52DE3">
      <w:pPr>
        <w:widowControl w:val="0"/>
        <w:spacing w:after="0" w:line="240" w:lineRule="auto"/>
        <w:jc w:val="center"/>
        <w:rPr>
          <w:rFonts w:ascii="Times New Roman" w:hAnsi="Times New Roman" w:cs="Times New Roman"/>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Уссурийском городском округе сформирована система профессиональных конкурсов педагогических работников, отвечающая вызовам и профессиональным задачам, поставленным пред системой образования и педагогическим сообществом.</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10 педагогов (АППГ – 13) приняли участие в муниципальном профессиональном конкурсе «Педагог года – 2025».</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sz w:val="28"/>
          <w:szCs w:val="28"/>
        </w:rPr>
        <w:t>3 руководителя образовательных организаций приняли участие во Всероссийской муниципальной премии «Служение».</w:t>
      </w:r>
    </w:p>
    <w:p w:rsidR="00B52DE3" w:rsidRDefault="00B52DE3">
      <w:pPr>
        <w:widowControl w:val="0"/>
        <w:spacing w:after="0" w:line="360" w:lineRule="auto"/>
        <w:ind w:firstLine="709"/>
        <w:jc w:val="both"/>
        <w:rPr>
          <w:rFonts w:ascii="Times New Roman" w:hAnsi="Times New Roman" w:cs="Times New Roman"/>
          <w:b/>
          <w:bCs/>
          <w:color w:val="000000"/>
          <w:sz w:val="28"/>
          <w:szCs w:val="28"/>
        </w:rPr>
      </w:pPr>
    </w:p>
    <w:p w:rsidR="00B52DE3" w:rsidRDefault="00DE73E3">
      <w:pPr>
        <w:widowControl w:val="0"/>
        <w:spacing w:after="0" w:line="360" w:lineRule="auto"/>
        <w:ind w:firstLine="709"/>
        <w:jc w:val="center"/>
        <w:rPr>
          <w:rFonts w:ascii="Times New Roman" w:hAnsi="Times New Roman" w:cs="Times New Roman"/>
        </w:rPr>
      </w:pPr>
      <w:r>
        <w:rPr>
          <w:rFonts w:ascii="Times New Roman" w:eastAsia="Times New Roman" w:hAnsi="Times New Roman" w:cs="Times New Roman"/>
          <w:b/>
          <w:bCs/>
          <w:color w:val="000000"/>
          <w:sz w:val="28"/>
          <w:szCs w:val="28"/>
        </w:rPr>
        <w:t>Формирование условий для развития наставничества</w:t>
      </w:r>
    </w:p>
    <w:p w:rsidR="00B52DE3" w:rsidRDefault="00B52DE3">
      <w:pPr>
        <w:widowControl w:val="0"/>
        <w:spacing w:after="0" w:line="360" w:lineRule="auto"/>
        <w:ind w:firstLine="709"/>
        <w:jc w:val="center"/>
        <w:rPr>
          <w:rFonts w:ascii="Times New Roman" w:hAnsi="Times New Roman" w:cs="Times New Roman"/>
        </w:rPr>
      </w:pPr>
    </w:p>
    <w:p w:rsidR="00B52DE3" w:rsidRDefault="00DE73E3">
      <w:pPr>
        <w:pStyle w:val="afff3"/>
        <w:widowControl w:val="0"/>
        <w:spacing w:before="0" w:after="0" w:line="360" w:lineRule="auto"/>
        <w:ind w:firstLine="709"/>
        <w:contextualSpacing/>
        <w:jc w:val="both"/>
        <w:rPr>
          <w:rFonts w:ascii="Times New Roman" w:hAnsi="Times New Roman" w:cs="Times New Roman"/>
        </w:rPr>
      </w:pPr>
      <w:r>
        <w:rPr>
          <w:rFonts w:ascii="Times New Roman" w:eastAsia="Times New Roman" w:hAnsi="Times New Roman" w:cs="Times New Roman"/>
          <w:color w:val="000000"/>
          <w:sz w:val="28"/>
          <w:szCs w:val="28"/>
        </w:rPr>
        <w:t xml:space="preserve">Наставничество в системе образования Уссурийского городского </w:t>
      </w:r>
      <w:r>
        <w:rPr>
          <w:rFonts w:ascii="Times New Roman" w:eastAsia="Times New Roman" w:hAnsi="Times New Roman" w:cs="Times New Roman"/>
          <w:color w:val="000000"/>
          <w:sz w:val="28"/>
          <w:szCs w:val="28"/>
        </w:rPr>
        <w:lastRenderedPageBreak/>
        <w:t>округа является неотъемлемой частью методической работы по совершенствованию профессиональных компетенций руководителей ОО, педагогов, развитию способностей обучающихся и повышению качества образования. За отчетный период методической службой организованы и проведены следующие мероприятия: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5 педагогов приняли участие в краевом конкурсе «Первые шаги в профессии».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4 педагога приняли участие в краевом конкурсе педагогических открытий года «</w:t>
      </w:r>
      <w:proofErr w:type="spellStart"/>
      <w:r>
        <w:rPr>
          <w:rFonts w:ascii="Times New Roman" w:eastAsia="Times New Roman" w:hAnsi="Times New Roman" w:cs="Times New Roman"/>
          <w:sz w:val="28"/>
          <w:szCs w:val="28"/>
        </w:rPr>
        <w:t>Со-бытие</w:t>
      </w:r>
      <w:proofErr w:type="spellEnd"/>
      <w:r>
        <w:rPr>
          <w:rFonts w:ascii="Times New Roman" w:eastAsia="Times New Roman" w:hAnsi="Times New Roman" w:cs="Times New Roman"/>
          <w:sz w:val="28"/>
          <w:szCs w:val="28"/>
        </w:rPr>
        <w:t>». 1 педагог стал призером.</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Победителем конкурса наставнических практик «Формула успеха» стал учитель-логопед МБДОУ «Детский сад № 15».</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3 педагога стали участниками краевого педагогического </w:t>
      </w:r>
      <w:proofErr w:type="spellStart"/>
      <w:r>
        <w:rPr>
          <w:rFonts w:ascii="Times New Roman" w:eastAsia="Times New Roman" w:hAnsi="Times New Roman" w:cs="Times New Roman"/>
          <w:color w:val="000000"/>
          <w:sz w:val="28"/>
          <w:szCs w:val="28"/>
        </w:rPr>
        <w:t>коворкинга</w:t>
      </w:r>
      <w:proofErr w:type="spellEnd"/>
      <w:r>
        <w:rPr>
          <w:rFonts w:ascii="Times New Roman" w:eastAsia="Times New Roman" w:hAnsi="Times New Roman" w:cs="Times New Roman"/>
          <w:color w:val="000000"/>
          <w:sz w:val="28"/>
          <w:szCs w:val="28"/>
        </w:rPr>
        <w:t xml:space="preserve"> муниципальных школ наставничества «В фокусе: </w:t>
      </w:r>
      <w:proofErr w:type="spellStart"/>
      <w:r>
        <w:rPr>
          <w:rFonts w:ascii="Times New Roman" w:eastAsia="Times New Roman" w:hAnsi="Times New Roman" w:cs="Times New Roman"/>
          <w:color w:val="000000"/>
          <w:sz w:val="28"/>
          <w:szCs w:val="28"/>
        </w:rPr>
        <w:t>Надеждинский</w:t>
      </w:r>
      <w:proofErr w:type="spellEnd"/>
      <w:r>
        <w:rPr>
          <w:rFonts w:ascii="Times New Roman" w:eastAsia="Times New Roman" w:hAnsi="Times New Roman" w:cs="Times New Roman"/>
          <w:color w:val="000000"/>
          <w:sz w:val="28"/>
          <w:szCs w:val="28"/>
        </w:rPr>
        <w:t xml:space="preserve"> муниципальный район!» по теме «</w:t>
      </w:r>
      <w:proofErr w:type="spellStart"/>
      <w:r>
        <w:rPr>
          <w:rFonts w:ascii="Times New Roman" w:eastAsia="Times New Roman" w:hAnsi="Times New Roman" w:cs="Times New Roman"/>
          <w:color w:val="000000"/>
          <w:sz w:val="28"/>
          <w:szCs w:val="28"/>
        </w:rPr>
        <w:t>Сонаставничество</w:t>
      </w:r>
      <w:proofErr w:type="spellEnd"/>
      <w:r>
        <w:rPr>
          <w:rFonts w:ascii="Times New Roman" w:eastAsia="Times New Roman" w:hAnsi="Times New Roman" w:cs="Times New Roman"/>
          <w:color w:val="000000"/>
          <w:sz w:val="28"/>
          <w:szCs w:val="28"/>
        </w:rPr>
        <w:t>: растим друг друга».</w:t>
      </w:r>
    </w:p>
    <w:p w:rsidR="00B52DE3" w:rsidRDefault="00B52DE3">
      <w:pPr>
        <w:pStyle w:val="afff3"/>
        <w:widowControl w:val="0"/>
        <w:spacing w:before="0" w:after="0" w:line="360" w:lineRule="auto"/>
        <w:jc w:val="both"/>
        <w:rPr>
          <w:rFonts w:ascii="Times New Roman" w:hAnsi="Times New Roman" w:cs="Times New Roman"/>
          <w:sz w:val="28"/>
          <w:szCs w:val="28"/>
        </w:rPr>
      </w:pPr>
    </w:p>
    <w:p w:rsidR="00B52DE3" w:rsidRDefault="00DE73E3">
      <w:pPr>
        <w:pStyle w:val="1fe"/>
        <w:keepNext w:val="0"/>
        <w:keepLines w:val="0"/>
        <w:spacing w:before="0" w:line="240" w:lineRule="auto"/>
      </w:pPr>
      <w:bookmarkStart w:id="74" w:name="_Toc76"/>
      <w:r>
        <w:rPr>
          <w:rFonts w:eastAsia="Times New Roman"/>
          <w:lang w:eastAsia="ru-RU"/>
        </w:rPr>
        <w:t>СОЗДАНИЕ УСЛОВИЙ ДЛЯ ОБЕСПЕЧЕНИЯ ЖИТЕЛЕЙ МУНИЦИПАЛЬНОГО, ГОРОДСКОГО ОКРУГА УСЛУГАМИ СВЯЗИ, ОБЩЕСТВЕННОГО ПИТАНИЯ, ТОРГОВЛИ И БЫТОВОГО ОБСЛУЖИВАНИЯ</w:t>
      </w:r>
      <w:bookmarkEnd w:id="74"/>
    </w:p>
    <w:p w:rsidR="00B52DE3" w:rsidRDefault="00B52DE3">
      <w:pPr>
        <w:widowControl w:val="0"/>
        <w:spacing w:after="0" w:line="360" w:lineRule="auto"/>
        <w:jc w:val="both"/>
        <w:rPr>
          <w:rFonts w:ascii="Times New Roman" w:hAnsi="Times New Roman" w:cs="Times New Roman"/>
          <w:spacing w:val="-1"/>
          <w:sz w:val="28"/>
          <w:szCs w:val="28"/>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pacing w:val="-1"/>
          <w:sz w:val="28"/>
          <w:szCs w:val="28"/>
        </w:rPr>
        <w:t>Сфера розничной торговли является наиболее динамично развивающейся отраслью экономики Уссурийского городского округа. В настоящее время на территории Уссурийского городского округа Приморского края сформирована структура сети розничной торговли и общественного питания. По состоянию на 01 января 2026 года это:</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pacing w:val="-1"/>
          <w:sz w:val="28"/>
          <w:szCs w:val="28"/>
        </w:rPr>
        <w:t xml:space="preserve">магазины розничной торговли </w:t>
      </w:r>
      <w:r>
        <w:rPr>
          <w:rFonts w:ascii="Times New Roman" w:eastAsia="Times New Roman" w:hAnsi="Times New Roman" w:cs="Times New Roman"/>
          <w:sz w:val="28"/>
          <w:szCs w:val="28"/>
        </w:rPr>
        <w:t>–</w:t>
      </w:r>
      <w:r>
        <w:rPr>
          <w:rFonts w:ascii="Times New Roman" w:eastAsia="Times New Roman" w:hAnsi="Times New Roman" w:cs="Times New Roman"/>
          <w:spacing w:val="-1"/>
          <w:sz w:val="28"/>
          <w:szCs w:val="28"/>
        </w:rPr>
        <w:t xml:space="preserve"> 841 ед., в том числе: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гипермаркеты – 1;</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супермаркеты – 30;</w:t>
      </w:r>
    </w:p>
    <w:p w:rsidR="00B52DE3" w:rsidRDefault="00DE73E3">
      <w:pPr>
        <w:widowControl w:val="0"/>
        <w:spacing w:after="0" w:line="360" w:lineRule="auto"/>
        <w:ind w:firstLine="709"/>
        <w:jc w:val="both"/>
        <w:rPr>
          <w:rFonts w:ascii="Times New Roman" w:hAnsi="Times New Roman" w:cs="Times New Roman"/>
        </w:rPr>
      </w:pPr>
      <w:proofErr w:type="spellStart"/>
      <w:r>
        <w:rPr>
          <w:rFonts w:ascii="Times New Roman" w:eastAsia="Times New Roman" w:hAnsi="Times New Roman" w:cs="Times New Roman"/>
          <w:sz w:val="28"/>
          <w:szCs w:val="28"/>
        </w:rPr>
        <w:t>дискаунтеры</w:t>
      </w:r>
      <w:proofErr w:type="spellEnd"/>
      <w:r>
        <w:rPr>
          <w:rFonts w:ascii="Times New Roman" w:eastAsia="Times New Roman" w:hAnsi="Times New Roman" w:cs="Times New Roman"/>
          <w:sz w:val="28"/>
          <w:szCs w:val="28"/>
        </w:rPr>
        <w:t xml:space="preserve"> - 23;</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универмаги – 1;</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 xml:space="preserve">торговые центры и торговые комплексы – 34; </w:t>
      </w:r>
    </w:p>
    <w:p w:rsidR="00B52DE3" w:rsidRDefault="00DE73E3">
      <w:pPr>
        <w:widowControl w:val="0"/>
        <w:shd w:val="clear" w:color="auto" w:fill="FFFFFF"/>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объекты мелкорозничной торговой сети – 413 ед., из которых 151 ед. расположены на земельных участках, в зданиях, строениях, сооружениях, находящихся в муниципальной собственности, а также на земельных участках, собственность на которые не разграничена,</w:t>
      </w:r>
      <w:r>
        <w:rPr>
          <w:rFonts w:ascii="Times New Roman" w:eastAsia="Times New Roman" w:hAnsi="Times New Roman" w:cs="Times New Roman"/>
          <w:spacing w:val="-1"/>
          <w:sz w:val="28"/>
          <w:szCs w:val="28"/>
        </w:rPr>
        <w:t xml:space="preserve"> и включенных в Схему нестационарных торговых объектов</w:t>
      </w:r>
      <w:r>
        <w:rPr>
          <w:rFonts w:ascii="Times New Roman" w:hAnsi="Times New Roman" w:cs="Times New Roman"/>
        </w:rPr>
        <w:t>;</w:t>
      </w:r>
    </w:p>
    <w:p w:rsidR="00B52DE3" w:rsidRDefault="00DE73E3">
      <w:pPr>
        <w:widowControl w:val="0"/>
        <w:shd w:val="clear" w:color="auto" w:fill="FFFFFF"/>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pacing w:val="-1"/>
          <w:sz w:val="28"/>
          <w:szCs w:val="28"/>
        </w:rPr>
        <w:t>предприятия общественного питания - 155.</w:t>
      </w:r>
    </w:p>
    <w:p w:rsidR="00B52DE3" w:rsidRDefault="00DE73E3">
      <w:pPr>
        <w:widowControl w:val="0"/>
        <w:shd w:val="clear" w:color="auto" w:fill="FFFFFF"/>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pacing w:val="-1"/>
          <w:sz w:val="28"/>
          <w:szCs w:val="28"/>
        </w:rPr>
        <w:t xml:space="preserve">Развитие торговых сетей позволяет расширить возможности рынка, оказывает благоприятное влияние на развитие конкурентной среды, а также увеличивает обеспеченность населения торговыми площадями. </w:t>
      </w:r>
    </w:p>
    <w:p w:rsidR="00B52DE3" w:rsidRDefault="00DE73E3">
      <w:pPr>
        <w:widowControl w:val="0"/>
        <w:shd w:val="clear" w:color="auto" w:fill="FFFFFF"/>
        <w:tabs>
          <w:tab w:val="left" w:pos="1013"/>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Обеспеченность торговыми площадями населения, согласно постановлению Правительства Приморского края от 04 августа 2023 года</w:t>
      </w:r>
      <w:r>
        <w:rPr>
          <w:rFonts w:ascii="Times New Roman" w:eastAsia="Times New Roman" w:hAnsi="Times New Roman" w:cs="Times New Roman"/>
          <w:sz w:val="28"/>
          <w:szCs w:val="28"/>
        </w:rPr>
        <w:br/>
        <w:t>№ 539-пп «Об утверждении нормативов минимальной обеспеченности населения площадью торговых объектов», по Уссурийскому городскому округу Приморского края по состоянию на 01 января 2026 года составила:</w:t>
      </w:r>
    </w:p>
    <w:p w:rsidR="00B52DE3" w:rsidRDefault="00DE73E3">
      <w:pPr>
        <w:widowControl w:val="0"/>
        <w:shd w:val="clear" w:color="auto" w:fill="FFFFFF"/>
        <w:tabs>
          <w:tab w:val="left" w:pos="1013"/>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площадью стационарных торговых объектов – 141,3 %;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площадью стационарных торговых объектов, в которых осуществляется продажа продовольственных товаров – 182,4 %;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площадью нестационарных торговых объектов – 317,1%;</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площадью торговых мест, используемых для осуществления деятельности по продаже товаров на ярмарках и розничных рынках – 137,5 %;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площадью торговых объектов по продаже периодической печатной продукции - 60,9%.</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целях стабилизации ценовой ситуации, а также во исполнение поручения Губернатора Приморского края О.Н. по обеспечению населения края основными продуктами питания по доступным ценам, на территории Уссурийского городского округа Приморского края реализуются краевые социальные проекты «Доступное Приморье», «Приморская рыба», </w:t>
      </w:r>
      <w:r>
        <w:rPr>
          <w:rFonts w:ascii="Times New Roman" w:eastAsia="Times New Roman" w:hAnsi="Times New Roman" w:cs="Times New Roman"/>
          <w:sz w:val="28"/>
          <w:szCs w:val="28"/>
        </w:rPr>
        <w:lastRenderedPageBreak/>
        <w:t xml:space="preserve">«Приморское лучшее», «Держим цены!», «Добрый хлеб», «Карта </w:t>
      </w:r>
      <w:proofErr w:type="spellStart"/>
      <w:r>
        <w:rPr>
          <w:rFonts w:ascii="Times New Roman" w:eastAsia="Times New Roman" w:hAnsi="Times New Roman" w:cs="Times New Roman"/>
          <w:sz w:val="28"/>
          <w:szCs w:val="28"/>
        </w:rPr>
        <w:t>Приморец</w:t>
      </w:r>
      <w:proofErr w:type="spellEnd"/>
      <w:r>
        <w:rPr>
          <w:rFonts w:ascii="Times New Roman" w:eastAsia="Times New Roman" w:hAnsi="Times New Roman" w:cs="Times New Roman"/>
          <w:sz w:val="28"/>
          <w:szCs w:val="28"/>
        </w:rPr>
        <w:t>».  В данных проектах участвуют более 100 предприятий розничной торговли: крупные сети «</w:t>
      </w:r>
      <w:proofErr w:type="spellStart"/>
      <w:r>
        <w:rPr>
          <w:rFonts w:ascii="Times New Roman" w:eastAsia="Times New Roman" w:hAnsi="Times New Roman" w:cs="Times New Roman"/>
          <w:sz w:val="28"/>
          <w:szCs w:val="28"/>
        </w:rPr>
        <w:t>Самбери</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Реми</w:t>
      </w:r>
      <w:proofErr w:type="spellEnd"/>
      <w:r>
        <w:rPr>
          <w:rFonts w:ascii="Times New Roman" w:eastAsia="Times New Roman" w:hAnsi="Times New Roman" w:cs="Times New Roman"/>
          <w:sz w:val="28"/>
          <w:szCs w:val="28"/>
        </w:rPr>
        <w:t xml:space="preserve">», «Близкий», «Пятёрочка» и магазины шаговой доступности, расположенные в различных микрорайонах города, а также предприятия торговли местных товаропроизводителей («Воздвиженский хлеб») и др., в которых жители Уссурийского городского округа Приморского края могут приобрести социально-значимые товары по фиксированным ценам и по ценам с минимальной торговой наценкой.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целях продвижения на потребительский рынок качественных и безопасных товаров местных </w:t>
      </w:r>
      <w:proofErr w:type="spellStart"/>
      <w:r>
        <w:rPr>
          <w:rFonts w:ascii="Times New Roman" w:eastAsia="Times New Roman" w:hAnsi="Times New Roman" w:cs="Times New Roman"/>
          <w:sz w:val="28"/>
          <w:szCs w:val="28"/>
        </w:rPr>
        <w:t>товаро</w:t>
      </w:r>
      <w:proofErr w:type="spellEnd"/>
      <w:r>
        <w:rPr>
          <w:rFonts w:ascii="Times New Roman" w:eastAsia="Times New Roman" w:hAnsi="Times New Roman" w:cs="Times New Roman"/>
          <w:sz w:val="28"/>
          <w:szCs w:val="28"/>
        </w:rPr>
        <w:t>- и сельхозпроизводителей, в 2025 году администрацией Уссурийского городского округа Приморского края организовано проведение 5-ти ярмарок различных типов и видов: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в ежедневном режиме с 1 февраля по 15 декабря 2025 года организовано проведение специализированной Дачной ярмарки, на которой за отчетный период гражданам, занимающимся садоводством и огородничеством, было предоставлено 4485 торговых места без оплаты стоимости, что составило 89,2 % к аналогичному периоду 2024 года                             (5024 торговых мест);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учитывая рекомендации министерства промышленности и торговли Приморского края по участию в проекте «Всероссийские ярмарки», инициированным Министерством промышленности и торговли Российской Федерации, под логотипом «Всероссийские ярмарки» организованы и проведены ярмарки:</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06, 07, 08 марта 2025 года на Центральной площади города - «Универсальная ярмарка», в которой приняло участие 219 участников;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18, 19 апреля 2025 года на Центральной площади города - «Универсальная ярмарка» (в том числе с реализацией пасхальной продукции), в которой приняло участие 97 участников;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lastRenderedPageBreak/>
        <w:t>03, 04 октября 2025 года на Центральной площади города - «Универсальная ярмарка», в которой приняло участие 126 участников;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19, 20 декабря 2025 года на улице Октябрьская - «Предновогодняя ярмарка»; участие принял 126 участников.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Информация о проведенных мероприятиях (видео и фото материалы) в рамках проекта «Всероссийские ярмарки» направлена в Министерство промышленности и торговли Приморского края;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На основании разрешений, выданных администрацией Уссурийского городского округа, функционировали 6 ярмарок, организаторами которых являлись юридические лица: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специализированная сельскохозяйственная  ярмарка ООО «Дружба» на 100 торговых мест;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специализированная ярмарка «Дачная» ОАО «Антарес» на 50 мест;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специализированная тематическая ярмарка «Все к школе» Некоммерческое партнерство по поддержке предпринимательства </w:t>
      </w:r>
      <w:r>
        <w:rPr>
          <w:rFonts w:ascii="Times New Roman" w:eastAsia="Times New Roman" w:hAnsi="Times New Roman" w:cs="Times New Roman"/>
          <w:sz w:val="28"/>
          <w:szCs w:val="28"/>
        </w:rPr>
        <w:br/>
        <w:t>г. Уссурийска и Уссурийского района  на 55 торговых мест;</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универсальная ярмарка ООО «Рынок» на 250 торговых мест;</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специализированная ярмарка ООО «Меркурий» на 67 торговых мест;</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специализированная ярмарка ООО «</w:t>
      </w:r>
      <w:proofErr w:type="spellStart"/>
      <w:r>
        <w:rPr>
          <w:rFonts w:ascii="Times New Roman" w:eastAsia="Times New Roman" w:hAnsi="Times New Roman" w:cs="Times New Roman"/>
          <w:sz w:val="28"/>
          <w:szCs w:val="28"/>
        </w:rPr>
        <w:t>Автомаркет</w:t>
      </w:r>
      <w:proofErr w:type="spellEnd"/>
      <w:r>
        <w:rPr>
          <w:rFonts w:ascii="Times New Roman" w:eastAsia="Times New Roman" w:hAnsi="Times New Roman" w:cs="Times New Roman"/>
          <w:sz w:val="28"/>
          <w:szCs w:val="28"/>
        </w:rPr>
        <w:t>» на 950 торговых мест.</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целях создания условий по обеспечению жителей Уссурийского городского округа Приморского края услугами торговли и общественного питания в течение 2025 года организовано</w:t>
      </w:r>
      <w:r>
        <w:rPr>
          <w:rFonts w:ascii="Times New Roman" w:eastAsia="Times New Roman" w:hAnsi="Times New Roman" w:cs="Times New Roman"/>
          <w:color w:val="000000" w:themeColor="dark1"/>
          <w:sz w:val="28"/>
          <w:szCs w:val="28"/>
        </w:rPr>
        <w:t xml:space="preserve"> и проведено торговое обслуживание 11-ти тематических мероприятий. </w:t>
      </w:r>
      <w:r>
        <w:rPr>
          <w:rFonts w:ascii="Times New Roman" w:eastAsia="Times New Roman" w:hAnsi="Times New Roman" w:cs="Times New Roman"/>
          <w:sz w:val="28"/>
          <w:szCs w:val="28"/>
        </w:rPr>
        <w:t>Всего в обслуживаниях  приняли участие 47 хозяйствующих субъектов.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Кроме того, предприятия торговли и общественного питания Уссурийского городского округа Приморского края принимают участие в благотворительных акциях: в предоставлении призов на масленичный столб при проведении народного масленичного гуляния, посвященного проводам </w:t>
      </w:r>
      <w:r>
        <w:rPr>
          <w:rFonts w:ascii="Times New Roman" w:eastAsia="Times New Roman" w:hAnsi="Times New Roman" w:cs="Times New Roman"/>
          <w:sz w:val="28"/>
          <w:szCs w:val="28"/>
        </w:rPr>
        <w:lastRenderedPageBreak/>
        <w:t xml:space="preserve">русской зимы «Русская Масленица», в акции «Блокадный хлеб», во Всероссийских акциях «Красная гвоздика», «Открой сердце для добра» и др. В рамках мероприятий, посвященных Международному дню инвалидов, предприятия общественного питания организовали проведение благотворительных обедов, на которых было обслужено 75 инвалидов. </w:t>
      </w:r>
    </w:p>
    <w:p w:rsidR="00B52DE3" w:rsidRDefault="00DE73E3">
      <w:pPr>
        <w:spacing w:after="0" w:line="360" w:lineRule="auto"/>
        <w:jc w:val="both"/>
        <w:rPr>
          <w:rFonts w:ascii="Times New Roman" w:hAnsi="Times New Roman" w:cs="Times New Roman"/>
        </w:rPr>
      </w:pPr>
      <w:r>
        <w:rPr>
          <w:rFonts w:ascii="Times New Roman" w:eastAsia="Times New Roman" w:hAnsi="Times New Roman" w:cs="Times New Roman"/>
          <w:sz w:val="28"/>
          <w:szCs w:val="28"/>
        </w:rPr>
        <w:tab/>
        <w:t>В рамках защиты прав потребителей, которым оказываются услуги торговли на территории Уссурийского городского округа Приморского края, рассмотрено 61 обращение потребителей; проведен час правовой информации с  учащимися КГАПОУ «Уссурийский колледж технологии и управления» (30 человек) на тему: «Справедливый переход к устойчивому образу жизни»;</w:t>
      </w:r>
    </w:p>
    <w:p w:rsidR="00B52DE3" w:rsidRDefault="00DE73E3">
      <w:pPr>
        <w:spacing w:after="0" w:line="360" w:lineRule="auto"/>
        <w:jc w:val="both"/>
        <w:rPr>
          <w:rFonts w:ascii="Times New Roman" w:hAnsi="Times New Roman" w:cs="Times New Roman"/>
        </w:rPr>
      </w:pPr>
      <w:r>
        <w:rPr>
          <w:rFonts w:ascii="Times New Roman" w:eastAsia="Times New Roman" w:hAnsi="Times New Roman" w:cs="Times New Roman"/>
          <w:sz w:val="28"/>
          <w:szCs w:val="28"/>
        </w:rPr>
        <w:tab/>
        <w:t>в соответствии с пунктом 1.7 «Разработка и издание для граждан информационных буклетов, изготовление видеороликов, ведение рубрики в печатном издании по вопросам защиты прав потребителей» Перечня основных мероприятий к муниципальной программе «Развитие информационного</w:t>
      </w:r>
      <w:r>
        <w:rPr>
          <w:rFonts w:ascii="Times New Roman" w:eastAsia="Times New Roman" w:hAnsi="Times New Roman" w:cs="Times New Roman"/>
          <w:spacing w:val="67"/>
          <w:sz w:val="28"/>
          <w:szCs w:val="28"/>
        </w:rPr>
        <w:t xml:space="preserve"> </w:t>
      </w:r>
      <w:r>
        <w:rPr>
          <w:rFonts w:ascii="Times New Roman" w:eastAsia="Times New Roman" w:hAnsi="Times New Roman" w:cs="Times New Roman"/>
          <w:sz w:val="28"/>
          <w:szCs w:val="28"/>
        </w:rPr>
        <w:t>общества</w:t>
      </w:r>
      <w:r>
        <w:rPr>
          <w:rFonts w:ascii="Times New Roman" w:eastAsia="Times New Roman" w:hAnsi="Times New Roman" w:cs="Times New Roman"/>
          <w:spacing w:val="67"/>
          <w:sz w:val="28"/>
          <w:szCs w:val="28"/>
        </w:rPr>
        <w:t xml:space="preserve"> </w:t>
      </w:r>
      <w:r>
        <w:rPr>
          <w:rFonts w:ascii="Times New Roman" w:eastAsia="Times New Roman" w:hAnsi="Times New Roman" w:cs="Times New Roman"/>
          <w:sz w:val="28"/>
          <w:szCs w:val="28"/>
        </w:rPr>
        <w:t>в</w:t>
      </w:r>
      <w:r>
        <w:rPr>
          <w:rFonts w:ascii="Times New Roman" w:eastAsia="Times New Roman" w:hAnsi="Times New Roman" w:cs="Times New Roman"/>
          <w:spacing w:val="67"/>
          <w:sz w:val="28"/>
          <w:szCs w:val="28"/>
        </w:rPr>
        <w:t xml:space="preserve"> </w:t>
      </w:r>
      <w:r>
        <w:rPr>
          <w:rFonts w:ascii="Times New Roman" w:eastAsia="Times New Roman" w:hAnsi="Times New Roman" w:cs="Times New Roman"/>
          <w:sz w:val="28"/>
          <w:szCs w:val="28"/>
        </w:rPr>
        <w:t>Уссурийском</w:t>
      </w:r>
      <w:r>
        <w:rPr>
          <w:rFonts w:ascii="Times New Roman" w:eastAsia="Times New Roman" w:hAnsi="Times New Roman" w:cs="Times New Roman"/>
          <w:spacing w:val="67"/>
          <w:sz w:val="28"/>
          <w:szCs w:val="28"/>
        </w:rPr>
        <w:t xml:space="preserve"> </w:t>
      </w:r>
      <w:r>
        <w:rPr>
          <w:rFonts w:ascii="Times New Roman" w:eastAsia="Times New Roman" w:hAnsi="Times New Roman" w:cs="Times New Roman"/>
          <w:sz w:val="28"/>
          <w:szCs w:val="28"/>
        </w:rPr>
        <w:t>городском</w:t>
      </w:r>
      <w:r>
        <w:rPr>
          <w:rFonts w:ascii="Times New Roman" w:eastAsia="Times New Roman" w:hAnsi="Times New Roman" w:cs="Times New Roman"/>
          <w:spacing w:val="67"/>
          <w:sz w:val="28"/>
          <w:szCs w:val="28"/>
        </w:rPr>
        <w:t xml:space="preserve"> </w:t>
      </w:r>
      <w:r>
        <w:rPr>
          <w:rFonts w:ascii="Times New Roman" w:eastAsia="Times New Roman" w:hAnsi="Times New Roman" w:cs="Times New Roman"/>
          <w:sz w:val="28"/>
          <w:szCs w:val="28"/>
        </w:rPr>
        <w:t>округе</w:t>
      </w:r>
      <w:r>
        <w:rPr>
          <w:rFonts w:ascii="Times New Roman" w:eastAsia="Times New Roman" w:hAnsi="Times New Roman" w:cs="Times New Roman"/>
          <w:spacing w:val="67"/>
          <w:sz w:val="28"/>
          <w:szCs w:val="28"/>
        </w:rPr>
        <w:t xml:space="preserve"> </w:t>
      </w:r>
      <w:r>
        <w:rPr>
          <w:rFonts w:ascii="Times New Roman" w:eastAsia="Times New Roman" w:hAnsi="Times New Roman" w:cs="Times New Roman"/>
          <w:sz w:val="28"/>
          <w:szCs w:val="28"/>
        </w:rPr>
        <w:t>Приморского</w:t>
      </w:r>
      <w:r>
        <w:rPr>
          <w:rFonts w:ascii="Times New Roman" w:eastAsia="Times New Roman" w:hAnsi="Times New Roman" w:cs="Times New Roman"/>
          <w:spacing w:val="67"/>
          <w:sz w:val="28"/>
          <w:szCs w:val="28"/>
        </w:rPr>
        <w:t xml:space="preserve"> </w:t>
      </w:r>
      <w:r>
        <w:rPr>
          <w:rFonts w:ascii="Times New Roman" w:eastAsia="Times New Roman" w:hAnsi="Times New Roman" w:cs="Times New Roman"/>
          <w:sz w:val="28"/>
          <w:szCs w:val="28"/>
        </w:rPr>
        <w:t>края» на 2021-2027 годы, утвержденной постановлением администрации Уссурийского городского округа</w:t>
      </w:r>
      <w:r>
        <w:rPr>
          <w:rFonts w:ascii="Times New Roman" w:eastAsia="Times New Roman" w:hAnsi="Times New Roman" w:cs="Times New Roman"/>
          <w:spacing w:val="69"/>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69"/>
          <w:sz w:val="28"/>
          <w:szCs w:val="28"/>
        </w:rPr>
        <w:t xml:space="preserve"> </w:t>
      </w:r>
      <w:r>
        <w:rPr>
          <w:rFonts w:ascii="Times New Roman" w:eastAsia="Times New Roman" w:hAnsi="Times New Roman" w:cs="Times New Roman"/>
          <w:sz w:val="28"/>
          <w:szCs w:val="28"/>
        </w:rPr>
        <w:t>1704-НПА</w:t>
      </w:r>
      <w:r>
        <w:rPr>
          <w:rFonts w:ascii="Times New Roman" w:eastAsia="Times New Roman" w:hAnsi="Times New Roman" w:cs="Times New Roman"/>
          <w:spacing w:val="69"/>
          <w:sz w:val="28"/>
          <w:szCs w:val="28"/>
        </w:rPr>
        <w:t xml:space="preserve">                        </w:t>
      </w:r>
      <w:r>
        <w:rPr>
          <w:rFonts w:ascii="Times New Roman" w:eastAsia="Times New Roman" w:hAnsi="Times New Roman" w:cs="Times New Roman"/>
          <w:sz w:val="28"/>
          <w:szCs w:val="28"/>
        </w:rPr>
        <w:t>от</w:t>
      </w:r>
      <w:r>
        <w:rPr>
          <w:rFonts w:ascii="Times New Roman" w:eastAsia="Times New Roman" w:hAnsi="Times New Roman" w:cs="Times New Roman"/>
          <w:spacing w:val="69"/>
          <w:sz w:val="28"/>
          <w:szCs w:val="28"/>
        </w:rPr>
        <w:t xml:space="preserve"> </w:t>
      </w:r>
      <w:r>
        <w:rPr>
          <w:rFonts w:ascii="Times New Roman" w:eastAsia="Times New Roman" w:hAnsi="Times New Roman" w:cs="Times New Roman"/>
          <w:sz w:val="28"/>
          <w:szCs w:val="28"/>
        </w:rPr>
        <w:t>04</w:t>
      </w:r>
      <w:r>
        <w:rPr>
          <w:rFonts w:ascii="Times New Roman" w:eastAsia="Times New Roman" w:hAnsi="Times New Roman" w:cs="Times New Roman"/>
          <w:spacing w:val="69"/>
          <w:sz w:val="28"/>
          <w:szCs w:val="28"/>
        </w:rPr>
        <w:t xml:space="preserve"> </w:t>
      </w:r>
      <w:r>
        <w:rPr>
          <w:rFonts w:ascii="Times New Roman" w:eastAsia="Times New Roman" w:hAnsi="Times New Roman" w:cs="Times New Roman"/>
          <w:sz w:val="28"/>
          <w:szCs w:val="28"/>
        </w:rPr>
        <w:t>августа</w:t>
      </w:r>
      <w:r>
        <w:rPr>
          <w:rFonts w:ascii="Times New Roman" w:eastAsia="Times New Roman" w:hAnsi="Times New Roman" w:cs="Times New Roman"/>
          <w:spacing w:val="69"/>
          <w:sz w:val="28"/>
          <w:szCs w:val="28"/>
        </w:rPr>
        <w:t xml:space="preserve"> </w:t>
      </w:r>
      <w:r>
        <w:rPr>
          <w:rFonts w:ascii="Times New Roman" w:eastAsia="Times New Roman" w:hAnsi="Times New Roman" w:cs="Times New Roman"/>
          <w:sz w:val="28"/>
          <w:szCs w:val="28"/>
        </w:rPr>
        <w:t>2020</w:t>
      </w:r>
      <w:r>
        <w:rPr>
          <w:rFonts w:ascii="Times New Roman" w:eastAsia="Times New Roman" w:hAnsi="Times New Roman" w:cs="Times New Roman"/>
          <w:spacing w:val="69"/>
          <w:sz w:val="28"/>
          <w:szCs w:val="28"/>
        </w:rPr>
        <w:t xml:space="preserve"> </w:t>
      </w:r>
      <w:r>
        <w:rPr>
          <w:rFonts w:ascii="Times New Roman" w:eastAsia="Times New Roman" w:hAnsi="Times New Roman" w:cs="Times New Roman"/>
          <w:sz w:val="28"/>
          <w:szCs w:val="28"/>
        </w:rPr>
        <w:t>года, в 2025 году изготовлены памятки по вопросам защиты прав потребителей (8 тыс.шт.);</w:t>
      </w:r>
      <w:r>
        <w:rPr>
          <w:rFonts w:ascii="Times New Roman" w:eastAsia="Times New Roman" w:hAnsi="Times New Roman" w:cs="Times New Roman"/>
          <w:bCs/>
          <w:color w:val="000000"/>
          <w:sz w:val="28"/>
          <w:szCs w:val="28"/>
          <w:lang w:eastAsia="ru-RU"/>
        </w:rPr>
        <w:t xml:space="preserve"> изготовлен и размещен на телевизионном канале «Телемикс» видеоролик на тему «Защита прав потребителей» (30-ти секундный видеоролик, прокат - 100 трансляций); размещена в периодическом печатном издании «Коммунар» публикация тематической рубрики по вопросам защиты прав потребителей</w:t>
      </w:r>
      <w:r>
        <w:rPr>
          <w:rFonts w:ascii="Times New Roman" w:eastAsia="Times New Roman" w:hAnsi="Times New Roman" w:cs="Times New Roman"/>
          <w:bCs/>
          <w:color w:val="000000"/>
          <w:sz w:val="28"/>
          <w:szCs w:val="28"/>
          <w:lang w:eastAsia="ru-RU"/>
        </w:rPr>
        <w:br/>
      </w:r>
      <w:r>
        <w:rPr>
          <w:rFonts w:ascii="Times New Roman" w:eastAsia="Times New Roman" w:hAnsi="Times New Roman" w:cs="Times New Roman"/>
          <w:color w:val="000000"/>
          <w:sz w:val="28"/>
          <w:szCs w:val="28"/>
          <w:lang w:eastAsia="ru-RU"/>
        </w:rPr>
        <w:t>(12 выходов)</w:t>
      </w:r>
      <w:r>
        <w:rPr>
          <w:rFonts w:ascii="Times New Roman" w:eastAsia="Times New Roman" w:hAnsi="Times New Roman" w:cs="Times New Roman"/>
          <w:sz w:val="28"/>
          <w:szCs w:val="28"/>
        </w:rPr>
        <w:t>.</w:t>
      </w:r>
    </w:p>
    <w:p w:rsidR="00B52DE3" w:rsidRDefault="00DE73E3">
      <w:pPr>
        <w:spacing w:after="0" w:line="360" w:lineRule="auto"/>
        <w:jc w:val="both"/>
        <w:rPr>
          <w:rFonts w:ascii="Times New Roman" w:hAnsi="Times New Roman" w:cs="Times New Roman"/>
        </w:rPr>
      </w:pPr>
      <w:r>
        <w:rPr>
          <w:rFonts w:ascii="Times New Roman" w:eastAsia="Times New Roman" w:hAnsi="Times New Roman" w:cs="Times New Roman"/>
          <w:sz w:val="28"/>
          <w:szCs w:val="28"/>
        </w:rPr>
        <w:tab/>
        <w:t xml:space="preserve">В целях контроля за поступлением на потребительский рынок Уссурийского городского округа легализованной алкогольной продукции, недопущением торговли </w:t>
      </w:r>
      <w:proofErr w:type="spellStart"/>
      <w:r>
        <w:rPr>
          <w:rFonts w:ascii="Times New Roman" w:eastAsia="Times New Roman" w:hAnsi="Times New Roman" w:cs="Times New Roman"/>
          <w:sz w:val="28"/>
          <w:szCs w:val="28"/>
        </w:rPr>
        <w:t>контрафактом</w:t>
      </w:r>
      <w:proofErr w:type="spellEnd"/>
      <w:r>
        <w:rPr>
          <w:rFonts w:ascii="Times New Roman" w:eastAsia="Times New Roman" w:hAnsi="Times New Roman" w:cs="Times New Roman"/>
          <w:sz w:val="28"/>
          <w:szCs w:val="28"/>
        </w:rPr>
        <w:t xml:space="preserve">, в 2025 году администрацией Уссурийского городского округа совместно с ОМВД России по городу </w:t>
      </w:r>
      <w:r>
        <w:rPr>
          <w:rFonts w:ascii="Times New Roman" w:eastAsia="Times New Roman" w:hAnsi="Times New Roman" w:cs="Times New Roman"/>
          <w:sz w:val="28"/>
          <w:szCs w:val="28"/>
        </w:rPr>
        <w:lastRenderedPageBreak/>
        <w:t xml:space="preserve">Уссурийску проведено 10 рейдовых мероприятий, в ходе которых проверено 25 объектов торговли и общественного питания. По результатам выявленных нарушений составлено 5 протоколов об административных правонарушениях по статье 14.16. часть 3 </w:t>
      </w:r>
      <w:proofErr w:type="spellStart"/>
      <w:r>
        <w:rPr>
          <w:rFonts w:ascii="Times New Roman" w:eastAsia="Times New Roman" w:hAnsi="Times New Roman" w:cs="Times New Roman"/>
          <w:sz w:val="28"/>
          <w:szCs w:val="28"/>
        </w:rPr>
        <w:t>КоАП</w:t>
      </w:r>
      <w:proofErr w:type="spellEnd"/>
      <w:r>
        <w:rPr>
          <w:rFonts w:ascii="Times New Roman" w:eastAsia="Times New Roman" w:hAnsi="Times New Roman" w:cs="Times New Roman"/>
          <w:sz w:val="28"/>
          <w:szCs w:val="28"/>
        </w:rPr>
        <w:t xml:space="preserve"> РФ, 1 протокол об административном правонарушении по статье 14.17. часть 1 </w:t>
      </w:r>
      <w:proofErr w:type="spellStart"/>
      <w:r>
        <w:rPr>
          <w:rFonts w:ascii="Times New Roman" w:eastAsia="Times New Roman" w:hAnsi="Times New Roman" w:cs="Times New Roman"/>
          <w:sz w:val="28"/>
          <w:szCs w:val="28"/>
        </w:rPr>
        <w:t>КоАП</w:t>
      </w:r>
      <w:proofErr w:type="spellEnd"/>
      <w:r>
        <w:rPr>
          <w:rFonts w:ascii="Times New Roman" w:eastAsia="Times New Roman" w:hAnsi="Times New Roman" w:cs="Times New Roman"/>
          <w:sz w:val="28"/>
          <w:szCs w:val="28"/>
        </w:rPr>
        <w:t xml:space="preserve"> РФ. В рамках осуществления межведомственного взаимодействия с Министерством промышленности и торговли Приморского края, недопущения незаконной реализации алкогольной продукции на территории Уссурийского городского округа Приморского края, в 2025 году проведено обследование 164 объектов торговли и общественного питания на предмет соответствия требованиям, необходимым для получения лицензии на право розничной продажи алкогольной продукции.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Кроме того, администрацией Уссурийского городского округа Приморского края в 2025 году продолжена работа по выявлению мест несанкционированной стихийной торговли. С привлечением сотрудников  ОМВД России по г. Уссурийску и Уссурийского отдела по ветеринарному и карантинному фитосанитарному надзору Управления </w:t>
      </w:r>
      <w:proofErr w:type="spellStart"/>
      <w:r>
        <w:rPr>
          <w:rFonts w:ascii="Times New Roman" w:eastAsia="Times New Roman" w:hAnsi="Times New Roman" w:cs="Times New Roman"/>
          <w:sz w:val="28"/>
          <w:szCs w:val="28"/>
        </w:rPr>
        <w:t>Россельхознадзора</w:t>
      </w:r>
      <w:proofErr w:type="spellEnd"/>
      <w:r>
        <w:rPr>
          <w:rFonts w:ascii="Times New Roman" w:eastAsia="Times New Roman" w:hAnsi="Times New Roman" w:cs="Times New Roman"/>
          <w:sz w:val="28"/>
          <w:szCs w:val="28"/>
        </w:rPr>
        <w:t xml:space="preserve"> по Приморскому краю и Сахалинской области администрацией Уссурийского городского округа проведено 105 рейдов, в которых по фактам выявленных нарушений составлено 114 протоколов об административных правонарушениях в соответствии с Законом Приморского края от 05 марта 2007 года №44-КЗ «Об административных правонарушениях в Приморском крае», наложено штрафных санкций на сумму  291 000 рублей.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В целях обеспечения антитеррористической защищенности торговых объектов в 2025 году, во исполнение постановления Правительства Российской Федерации от 19 октября 2017 года № 1273 «Об утверждении требований к антитеррористической защищенности торговых объектов (территорий) и формы паспорта безопасности торгового объекта (территории)», в соответствии с распоряжением Губернатора Приморского </w:t>
      </w:r>
      <w:r>
        <w:rPr>
          <w:rFonts w:ascii="Times New Roman" w:eastAsia="Times New Roman" w:hAnsi="Times New Roman" w:cs="Times New Roman"/>
          <w:color w:val="000000" w:themeColor="dark1"/>
          <w:sz w:val="28"/>
          <w:szCs w:val="28"/>
        </w:rPr>
        <w:lastRenderedPageBreak/>
        <w:t>края от 15 августа 2025 года № 308-рг «Об утверждении перечня торговых объектов (территорий), расположенных в пределах территории Приморского края и подлежащих категорированию в интересах антитеррористической защиты» из 36 торговых объектов, подлежащих категорированию, разработано, согласовано и находится на ответственном хранении в министерстве промышленности и торговли Приморского края 35 паспортов безопасности торговых объектов (1 паспорт ТЦ «</w:t>
      </w:r>
      <w:proofErr w:type="spellStart"/>
      <w:r>
        <w:rPr>
          <w:rFonts w:ascii="Times New Roman" w:eastAsia="Times New Roman" w:hAnsi="Times New Roman" w:cs="Times New Roman"/>
          <w:color w:val="000000" w:themeColor="dark1"/>
          <w:sz w:val="28"/>
          <w:szCs w:val="28"/>
        </w:rPr>
        <w:t>Дальторгсервис</w:t>
      </w:r>
      <w:proofErr w:type="spellEnd"/>
      <w:r>
        <w:rPr>
          <w:rFonts w:ascii="Times New Roman" w:eastAsia="Times New Roman" w:hAnsi="Times New Roman" w:cs="Times New Roman"/>
          <w:color w:val="000000" w:themeColor="dark1"/>
          <w:sz w:val="28"/>
          <w:szCs w:val="28"/>
        </w:rPr>
        <w:t>» находится в стадии разработки);</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совместно с Управлением </w:t>
      </w:r>
      <w:proofErr w:type="spellStart"/>
      <w:r>
        <w:rPr>
          <w:rFonts w:ascii="Times New Roman" w:eastAsia="Times New Roman" w:hAnsi="Times New Roman" w:cs="Times New Roman"/>
          <w:color w:val="000000" w:themeColor="dark1"/>
          <w:sz w:val="28"/>
          <w:szCs w:val="28"/>
        </w:rPr>
        <w:t>Росгвардии</w:t>
      </w:r>
      <w:proofErr w:type="spellEnd"/>
      <w:r>
        <w:rPr>
          <w:rFonts w:ascii="Times New Roman" w:eastAsia="Times New Roman" w:hAnsi="Times New Roman" w:cs="Times New Roman"/>
          <w:color w:val="000000" w:themeColor="dark1"/>
          <w:sz w:val="28"/>
          <w:szCs w:val="28"/>
        </w:rPr>
        <w:t xml:space="preserve"> Приморского края принято участие в проведении плановых проверок 21 торгового объекта, инициированных министерством промышленности и торговли Приморского края, как уполномоченным органом;</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принято участие в обследовании и категорировании 20-ти торговых объектов на предмет соответствия требованиям к антитеррористической защищенности с составлением актов, в связи со сменой ими категории;</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 министерство промышленности и торговли Приморского края предоставлена информация о включении 1 торгового объекта в Перечень торговых объектов, подлежащих категорированию в интересах их антитеррористической защиты.</w:t>
      </w:r>
    </w:p>
    <w:p w:rsidR="00B52DE3" w:rsidRDefault="00DE73E3">
      <w:pPr>
        <w:widowControl w:val="0"/>
        <w:spacing w:after="0" w:line="360" w:lineRule="auto"/>
        <w:ind w:firstLine="709"/>
        <w:jc w:val="both"/>
        <w:rPr>
          <w:rFonts w:ascii="Times New Roman" w:eastAsia="Times New Roman" w:hAnsi="Times New Roman" w:cs="Times New Roman"/>
          <w:spacing w:val="-1"/>
          <w:sz w:val="28"/>
          <w:szCs w:val="28"/>
        </w:rPr>
      </w:pPr>
      <w:r>
        <w:rPr>
          <w:rFonts w:ascii="Times New Roman" w:eastAsia="Times New Roman" w:hAnsi="Times New Roman" w:cs="Times New Roman"/>
          <w:spacing w:val="-1"/>
          <w:sz w:val="28"/>
          <w:szCs w:val="28"/>
        </w:rPr>
        <w:t xml:space="preserve">Во исполнение Постановления Администрации Приморского края </w:t>
      </w:r>
      <w:r>
        <w:rPr>
          <w:rFonts w:ascii="Times New Roman" w:eastAsia="Times New Roman" w:hAnsi="Times New Roman" w:cs="Times New Roman"/>
          <w:spacing w:val="-1"/>
          <w:sz w:val="28"/>
          <w:szCs w:val="28"/>
        </w:rPr>
        <w:br/>
        <w:t xml:space="preserve">от 08 апреля 2015 года № 105-па «О регулировании отдельных вопросов, связанных с особенностями определения налоговой базы по налогу на имущество организаций» в течение 2025 года проведена работа по обследованию 484 торговых объектов для включения (в том числе актуализации) их в Перечень торговых центров (комплексов) и помещений в них, а также нежилых помещений, назначение, разрешенное использование или наименование которых фактически используется под размещений торговых объектов, в отношении которых налоговая база по налогу на имущество организаций определяется как кадастровая стоимость (далее – </w:t>
      </w:r>
      <w:r>
        <w:rPr>
          <w:rFonts w:ascii="Times New Roman" w:eastAsia="Times New Roman" w:hAnsi="Times New Roman" w:cs="Times New Roman"/>
          <w:spacing w:val="-1"/>
          <w:sz w:val="28"/>
          <w:szCs w:val="28"/>
        </w:rPr>
        <w:lastRenderedPageBreak/>
        <w:t>Перечень). В результате проведенной работы в 2025 году актуализирован Перечень, состоящий из 395 объектов; предложения по включению в Перечень 68-ми новых объектов недвижимого имущества, в которых фактически размещены торговые объекты на территории Уссурийского городского округа, направлены в министерство промышленности и торговли Приморского края.</w:t>
      </w:r>
    </w:p>
    <w:p w:rsidR="00B52DE3" w:rsidRDefault="00B52DE3">
      <w:pPr>
        <w:widowControl w:val="0"/>
        <w:spacing w:after="0" w:line="360" w:lineRule="auto"/>
        <w:ind w:firstLine="709"/>
        <w:jc w:val="both"/>
        <w:rPr>
          <w:rFonts w:ascii="Times New Roman" w:hAnsi="Times New Roman" w:cs="Times New Roman"/>
        </w:rPr>
      </w:pPr>
    </w:p>
    <w:p w:rsidR="00B52DE3" w:rsidRDefault="00DE73E3">
      <w:pPr>
        <w:pStyle w:val="1fe"/>
        <w:keepNext w:val="0"/>
        <w:keepLines w:val="0"/>
        <w:spacing w:before="0" w:line="240" w:lineRule="auto"/>
      </w:pPr>
      <w:bookmarkStart w:id="75" w:name="_Toc77"/>
      <w:r>
        <w:rPr>
          <w:rFonts w:eastAsia="Times New Roman"/>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bookmarkEnd w:id="75"/>
    </w:p>
    <w:p w:rsidR="00B52DE3" w:rsidRDefault="00B52DE3">
      <w:pPr>
        <w:widowControl w:val="0"/>
        <w:spacing w:after="0" w:line="360" w:lineRule="auto"/>
        <w:ind w:firstLine="708"/>
        <w:jc w:val="center"/>
        <w:rPr>
          <w:rFonts w:ascii="Times New Roman" w:hAnsi="Times New Roman" w:cs="Times New Roman"/>
          <w:b/>
          <w:sz w:val="28"/>
          <w:szCs w:val="28"/>
        </w:rPr>
      </w:pP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Муниципальное бюджетное учреждение культуры «Централизованная библиотечная система» Уссурийского городского округа Приморского края – это сеть, объединяющая 22 библиотеки. Центральная детская библиотека, библиотека № 9, библиотека № 12 – специализированные детские. Остальные библиотеки – универсальные. Библиотека № 1 с 2009 года имеет статус библиотеки семейного чтения и выполняет задачу возрождения традиций семейного чтения.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lang w:eastAsia="ru-RU"/>
        </w:rPr>
        <w:t>В текущем году в библиотеках прошёл процесс модернизации. Освоены субсидии в размере 10 миллионов рублей на две библиотеки.</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В рамках модернизации закуплено RFID-оборудование, моноблоки, ноутбуки, МФУ, SMART-телевизоры, ламинаторы, зарядные станции для телефонов и </w:t>
      </w:r>
      <w:proofErr w:type="spellStart"/>
      <w:r>
        <w:rPr>
          <w:rFonts w:ascii="Times New Roman" w:eastAsia="Times New Roman" w:hAnsi="Times New Roman" w:cs="Times New Roman"/>
          <w:sz w:val="28"/>
          <w:szCs w:val="28"/>
          <w:lang w:eastAsia="ru-RU"/>
        </w:rPr>
        <w:t>гаджетов</w:t>
      </w:r>
      <w:proofErr w:type="spellEnd"/>
      <w:r>
        <w:rPr>
          <w:rFonts w:ascii="Times New Roman" w:eastAsia="Times New Roman" w:hAnsi="Times New Roman" w:cs="Times New Roman"/>
          <w:sz w:val="28"/>
          <w:szCs w:val="28"/>
          <w:lang w:eastAsia="ru-RU"/>
        </w:rPr>
        <w:t>. Для юных читателей библиотеки №3 приобретены мастерская анимации, которая включает в себя дополнительно интерактивный стол со множеством игр, игровая система, интерактивный глобус с планшетом.</w:t>
      </w:r>
      <w:r>
        <w:rPr>
          <w:rFonts w:ascii="Times New Roman" w:eastAsia="Times New Roman" w:hAnsi="Times New Roman" w:cs="Times New Roman"/>
          <w:sz w:val="28"/>
          <w:szCs w:val="28"/>
        </w:rPr>
        <w:t xml:space="preserve"> Необычным стало для библиотеки №5 приобретение </w:t>
      </w:r>
      <w:proofErr w:type="spellStart"/>
      <w:r>
        <w:rPr>
          <w:rFonts w:ascii="Times New Roman" w:eastAsia="Times New Roman" w:hAnsi="Times New Roman" w:cs="Times New Roman"/>
          <w:sz w:val="28"/>
          <w:szCs w:val="28"/>
        </w:rPr>
        <w:t>термо-пресса</w:t>
      </w:r>
      <w:proofErr w:type="spellEnd"/>
      <w:r>
        <w:rPr>
          <w:rFonts w:ascii="Times New Roman" w:eastAsia="Times New Roman" w:hAnsi="Times New Roman" w:cs="Times New Roman"/>
          <w:sz w:val="28"/>
          <w:szCs w:val="28"/>
        </w:rPr>
        <w:t xml:space="preserve"> и термобумаги для реализации </w:t>
      </w:r>
      <w:proofErr w:type="spellStart"/>
      <w:r>
        <w:rPr>
          <w:rFonts w:ascii="Times New Roman" w:eastAsia="Times New Roman" w:hAnsi="Times New Roman" w:cs="Times New Roman"/>
          <w:sz w:val="28"/>
          <w:szCs w:val="28"/>
        </w:rPr>
        <w:t>креативного</w:t>
      </w:r>
      <w:proofErr w:type="spellEnd"/>
      <w:r>
        <w:rPr>
          <w:rFonts w:ascii="Times New Roman" w:eastAsia="Times New Roman" w:hAnsi="Times New Roman" w:cs="Times New Roman"/>
          <w:sz w:val="28"/>
          <w:szCs w:val="28"/>
        </w:rPr>
        <w:t xml:space="preserve"> проекта «Гений места».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Приобретена современная трансформируемая мебель и установлены архивные стеллажи на рельсах для хранения книг.</w:t>
      </w:r>
    </w:p>
    <w:p w:rsidR="00B52DE3" w:rsidRDefault="00DE73E3">
      <w:pPr>
        <w:pStyle w:val="afff3"/>
        <w:spacing w:before="0" w:after="0" w:line="360" w:lineRule="auto"/>
        <w:ind w:firstLine="708"/>
        <w:jc w:val="both"/>
        <w:rPr>
          <w:rFonts w:ascii="Times New Roman" w:hAnsi="Times New Roman" w:cs="Times New Roman"/>
        </w:rPr>
      </w:pPr>
      <w:bookmarkStart w:id="76" w:name="_Hlk216796407"/>
      <w:r>
        <w:rPr>
          <w:rFonts w:ascii="Times New Roman" w:eastAsia="Times New Roman" w:hAnsi="Times New Roman" w:cs="Times New Roman"/>
          <w:sz w:val="28"/>
          <w:szCs w:val="28"/>
        </w:rPr>
        <w:lastRenderedPageBreak/>
        <w:t>В августе 2025 года МБУК «ЦБС» УГО ПК подала заявку на предоставление в 2026 году субсидии из Федерального бюджета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 в целях реализации национального проекта «Семья» и библиотека № 9 стала победителем конкурсного отбора. На базе библиотеки № 9 будет создан детский Центр Чтения «</w:t>
      </w:r>
      <w:proofErr w:type="spellStart"/>
      <w:r>
        <w:rPr>
          <w:rFonts w:ascii="Times New Roman" w:eastAsia="Times New Roman" w:hAnsi="Times New Roman" w:cs="Times New Roman"/>
          <w:sz w:val="28"/>
          <w:szCs w:val="28"/>
        </w:rPr>
        <w:t>Книгомир</w:t>
      </w:r>
      <w:proofErr w:type="spellEnd"/>
      <w:r>
        <w:rPr>
          <w:rFonts w:ascii="Times New Roman" w:eastAsia="Times New Roman" w:hAnsi="Times New Roman" w:cs="Times New Roman"/>
          <w:sz w:val="28"/>
          <w:szCs w:val="28"/>
        </w:rPr>
        <w:t>».</w:t>
      </w:r>
      <w:bookmarkEnd w:id="76"/>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2025 году в библиотеках проведено 3537 мероприятий, мероприятия посетили 88610 человек. Наблюдается увеличение количества мероприятий и количество посещений массовых мероприятий: 8% и 6% соответственно. Посещение библиотек в целом, также увеличилось на 9%, что соответствует национальному проекту «Культура», в 2025 году посещения составили 577338, в 2024 – 531525.</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2025 году работали специализированные площадки «Час семейного творчества», «Интеллектуальные игры», «Культурная привычка», «Встречи с творческими людьми», «Краеведение», «</w:t>
      </w:r>
      <w:proofErr w:type="spellStart"/>
      <w:r>
        <w:rPr>
          <w:rFonts w:ascii="Times New Roman" w:eastAsia="Times New Roman" w:hAnsi="Times New Roman" w:cs="Times New Roman"/>
          <w:sz w:val="28"/>
          <w:szCs w:val="28"/>
        </w:rPr>
        <w:t>Буккроссинг</w:t>
      </w:r>
      <w:proofErr w:type="spellEnd"/>
      <w:r>
        <w:rPr>
          <w:rFonts w:ascii="Times New Roman" w:eastAsia="Times New Roman" w:hAnsi="Times New Roman" w:cs="Times New Roman"/>
          <w:sz w:val="28"/>
          <w:szCs w:val="28"/>
        </w:rPr>
        <w:t xml:space="preserve">» и другие. Для жителей города проведены творческие мастер-классы, литературные вечера и путешествия, интерактивные и настольные игры и другие мероприятия.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августе 2025 года стартовал новый краевой проект «Как пройти в библиотеку!?!», с целью вовлечения жителей Приморья разных возрастных групп в изучение краеведения и популяризацию чтения. Структурные подразделения МБУК «ЦБС» подключились к реализации проекта и на постоянной основе еженедельно по пятницам проводят презентации книг Губернаторской издательской программы в соответствии с перечнем краеведческой литературы рекомендуемым Министерством культуры и архивного дела Приморского края.</w:t>
      </w:r>
    </w:p>
    <w:p w:rsidR="00B52DE3" w:rsidRDefault="00DE73E3">
      <w:pPr>
        <w:spacing w:after="0" w:line="360" w:lineRule="auto"/>
        <w:ind w:firstLine="708"/>
        <w:jc w:val="both"/>
        <w:rPr>
          <w:rFonts w:ascii="Times New Roman" w:hAnsi="Times New Roman" w:cs="Times New Roman"/>
        </w:rPr>
      </w:pPr>
      <w:bookmarkStart w:id="77" w:name="_Hlk184226897"/>
      <w:r>
        <w:rPr>
          <w:rFonts w:ascii="Times New Roman" w:eastAsia="Times New Roman" w:hAnsi="Times New Roman" w:cs="Times New Roman"/>
          <w:sz w:val="28"/>
          <w:szCs w:val="28"/>
        </w:rPr>
        <w:t xml:space="preserve">Проводились мероприятия в удаленном режиме с размещением на официальном сайте МБУК «ЦБС», сайте ЦДБ, социальной сети. На официальном сайте «Библиотеки Уссурийска» (421 публикаций), сайте </w:t>
      </w:r>
      <w:r>
        <w:rPr>
          <w:rFonts w:ascii="Times New Roman" w:eastAsia="Times New Roman" w:hAnsi="Times New Roman" w:cs="Times New Roman"/>
          <w:sz w:val="28"/>
          <w:szCs w:val="28"/>
        </w:rPr>
        <w:lastRenderedPageBreak/>
        <w:t>«Библиотеки Уссурийска детям» (362 публикации), в социальной сети «</w:t>
      </w:r>
      <w:proofErr w:type="spellStart"/>
      <w:r>
        <w:rPr>
          <w:rFonts w:ascii="Times New Roman" w:eastAsia="Times New Roman" w:hAnsi="Times New Roman" w:cs="Times New Roman"/>
          <w:sz w:val="28"/>
          <w:szCs w:val="28"/>
        </w:rPr>
        <w:t>ВКонтакте</w:t>
      </w:r>
      <w:proofErr w:type="spellEnd"/>
      <w:r>
        <w:rPr>
          <w:rFonts w:ascii="Times New Roman" w:eastAsia="Times New Roman" w:hAnsi="Times New Roman" w:cs="Times New Roman"/>
          <w:sz w:val="28"/>
          <w:szCs w:val="28"/>
        </w:rPr>
        <w:t>» «Библиотеки Уссурийска» (504 публикация), «</w:t>
      </w:r>
      <w:proofErr w:type="spellStart"/>
      <w:r>
        <w:rPr>
          <w:rFonts w:ascii="Times New Roman" w:eastAsia="Times New Roman" w:hAnsi="Times New Roman" w:cs="Times New Roman"/>
          <w:sz w:val="28"/>
          <w:szCs w:val="28"/>
        </w:rPr>
        <w:t>ВКонтакте</w:t>
      </w:r>
      <w:proofErr w:type="spellEnd"/>
      <w:r>
        <w:rPr>
          <w:rFonts w:ascii="Times New Roman" w:eastAsia="Times New Roman" w:hAnsi="Times New Roman" w:cs="Times New Roman"/>
          <w:sz w:val="28"/>
          <w:szCs w:val="28"/>
        </w:rPr>
        <w:t xml:space="preserve">» «Библиотеки Уссурийска» детям» (521 публикаций), </w:t>
      </w:r>
      <w:proofErr w:type="spellStart"/>
      <w:r>
        <w:rPr>
          <w:rFonts w:ascii="Times New Roman" w:eastAsia="Times New Roman" w:hAnsi="Times New Roman" w:cs="Times New Roman"/>
          <w:sz w:val="28"/>
          <w:szCs w:val="28"/>
        </w:rPr>
        <w:t>Рутуб</w:t>
      </w:r>
      <w:proofErr w:type="spellEnd"/>
      <w:r>
        <w:rPr>
          <w:rFonts w:ascii="Times New Roman" w:eastAsia="Times New Roman" w:hAnsi="Times New Roman" w:cs="Times New Roman"/>
          <w:sz w:val="28"/>
          <w:szCs w:val="28"/>
        </w:rPr>
        <w:t xml:space="preserve"> ЦБС                            (171 публикаций), Одноклассники «Библиотеки Уссурийска детям»                       (521 публикаций), Одноклассники «Библиотеки Уссурийска»                               (503 публикаций), </w:t>
      </w:r>
      <w:proofErr w:type="spellStart"/>
      <w:r>
        <w:rPr>
          <w:rFonts w:ascii="Times New Roman" w:eastAsia="Times New Roman" w:hAnsi="Times New Roman" w:cs="Times New Roman"/>
          <w:sz w:val="28"/>
          <w:szCs w:val="28"/>
        </w:rPr>
        <w:t>Телеграм</w:t>
      </w:r>
      <w:proofErr w:type="spellEnd"/>
      <w:r>
        <w:rPr>
          <w:rFonts w:ascii="Times New Roman" w:eastAsia="Times New Roman" w:hAnsi="Times New Roman" w:cs="Times New Roman"/>
          <w:sz w:val="28"/>
          <w:szCs w:val="28"/>
        </w:rPr>
        <w:t xml:space="preserve"> «Библиотеки Уссурийска» (477 публикаций). Размещались трансляции, события, обзоры на канале «Культура». На канале «Культура РФ» проведено 108 трансляций.</w:t>
      </w:r>
      <w:bookmarkEnd w:id="77"/>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Для пользователей был предоставлен дистанционный доступ к библиотечным ресурсам: доступ к официальным сайтам учреждения, доступ к электронной библиотеке «</w:t>
      </w:r>
      <w:proofErr w:type="spellStart"/>
      <w:r>
        <w:rPr>
          <w:rFonts w:ascii="Times New Roman" w:eastAsia="Times New Roman" w:hAnsi="Times New Roman" w:cs="Times New Roman"/>
          <w:sz w:val="28"/>
          <w:szCs w:val="28"/>
        </w:rPr>
        <w:t>ЛитРес</w:t>
      </w:r>
      <w:proofErr w:type="spellEnd"/>
      <w:r>
        <w:rPr>
          <w:rFonts w:ascii="Times New Roman" w:eastAsia="Times New Roman" w:hAnsi="Times New Roman" w:cs="Times New Roman"/>
          <w:sz w:val="28"/>
          <w:szCs w:val="28"/>
        </w:rPr>
        <w:t>» (обращение к сайтам в 2025 году составило 93706, в 2024 году - 70723 раз, обращения к электронной библиотеке «</w:t>
      </w:r>
      <w:proofErr w:type="spellStart"/>
      <w:r>
        <w:rPr>
          <w:rFonts w:ascii="Times New Roman" w:eastAsia="Times New Roman" w:hAnsi="Times New Roman" w:cs="Times New Roman"/>
          <w:sz w:val="28"/>
          <w:szCs w:val="28"/>
        </w:rPr>
        <w:t>ЛитРес</w:t>
      </w:r>
      <w:proofErr w:type="spellEnd"/>
      <w:r>
        <w:rPr>
          <w:rFonts w:ascii="Times New Roman" w:eastAsia="Times New Roman" w:hAnsi="Times New Roman" w:cs="Times New Roman"/>
          <w:sz w:val="28"/>
          <w:szCs w:val="28"/>
        </w:rPr>
        <w:t>» в 2025 году составило 18745, в 2024 году -                       21927, читателей – 1743, в 2024 году - 1758). Наблюдается увеличение количества обращений к библиотеке в удаленном режиме.</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в рамках муниципального задания электронных справок и консультаций по запросам пользователей выполнено – 24852, за 2024 год –24295. Наблюдается увеличение запросов пользователей.</w:t>
      </w:r>
    </w:p>
    <w:p w:rsidR="00B52DE3" w:rsidRDefault="00DE73E3">
      <w:pPr>
        <w:pStyle w:val="afff3"/>
        <w:spacing w:before="0"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ходе конкурсного отбора в проекте Гений места на 2025 год победителями стали Центральная детская библиотека (проект «</w:t>
      </w:r>
      <w:proofErr w:type="spellStart"/>
      <w:r>
        <w:rPr>
          <w:rFonts w:ascii="Times New Roman" w:eastAsia="Times New Roman" w:hAnsi="Times New Roman" w:cs="Times New Roman"/>
          <w:sz w:val="28"/>
          <w:szCs w:val="28"/>
        </w:rPr>
        <w:t>ИскуССтво</w:t>
      </w:r>
      <w:proofErr w:type="spellEnd"/>
      <w:r>
        <w:rPr>
          <w:rFonts w:ascii="Times New Roman" w:eastAsia="Times New Roman" w:hAnsi="Times New Roman" w:cs="Times New Roman"/>
          <w:sz w:val="28"/>
          <w:szCs w:val="28"/>
        </w:rPr>
        <w:t xml:space="preserve"> без границ» в направлении «Современное искусство») и библиотека № 27 (проект «Новоникольское эхо» в направлении «Издательское дело и журналистика»). В этих библиотеках созданы точки концентрации талантов. </w:t>
      </w:r>
    </w:p>
    <w:p w:rsidR="00B52DE3" w:rsidRDefault="00DE73E3">
      <w:pPr>
        <w:pStyle w:val="afff3"/>
        <w:spacing w:before="0"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конкурсном отборе в проект Гений места на 2026 год вошли библиотека № 3 с проектом «</w:t>
      </w:r>
      <w:proofErr w:type="spellStart"/>
      <w:r>
        <w:rPr>
          <w:rFonts w:ascii="Times New Roman" w:eastAsia="Times New Roman" w:hAnsi="Times New Roman" w:cs="Times New Roman"/>
          <w:sz w:val="28"/>
          <w:szCs w:val="28"/>
        </w:rPr>
        <w:t>Мульткадрики</w:t>
      </w:r>
      <w:proofErr w:type="spellEnd"/>
      <w:r>
        <w:rPr>
          <w:rFonts w:ascii="Times New Roman" w:eastAsia="Times New Roman" w:hAnsi="Times New Roman" w:cs="Times New Roman"/>
          <w:sz w:val="28"/>
          <w:szCs w:val="28"/>
        </w:rPr>
        <w:t xml:space="preserve">», в направлении – кино и мультипликация и библиотека № 5 с проектом «Маршрут построен», в направлении - </w:t>
      </w:r>
      <w:proofErr w:type="spellStart"/>
      <w:r>
        <w:rPr>
          <w:rFonts w:ascii="Times New Roman" w:eastAsia="Times New Roman" w:hAnsi="Times New Roman" w:cs="Times New Roman"/>
          <w:sz w:val="28"/>
          <w:szCs w:val="28"/>
        </w:rPr>
        <w:t>креативный</w:t>
      </w:r>
      <w:proofErr w:type="spellEnd"/>
      <w:r>
        <w:rPr>
          <w:rFonts w:ascii="Times New Roman" w:eastAsia="Times New Roman" w:hAnsi="Times New Roman" w:cs="Times New Roman"/>
          <w:sz w:val="28"/>
          <w:szCs w:val="28"/>
        </w:rPr>
        <w:t xml:space="preserve"> туризм.</w:t>
      </w:r>
    </w:p>
    <w:p w:rsidR="00B52DE3" w:rsidRDefault="00DE73E3">
      <w:pPr>
        <w:spacing w:after="0" w:line="360" w:lineRule="auto"/>
        <w:ind w:firstLine="708"/>
        <w:jc w:val="both"/>
        <w:rPr>
          <w:rFonts w:ascii="Times New Roman" w:hAnsi="Times New Roman" w:cs="Times New Roman"/>
        </w:rPr>
      </w:pPr>
      <w:bookmarkStart w:id="78" w:name="_Hlk216800478"/>
      <w:r>
        <w:rPr>
          <w:rFonts w:ascii="Times New Roman" w:eastAsia="Times New Roman" w:hAnsi="Times New Roman" w:cs="Times New Roman"/>
          <w:sz w:val="28"/>
          <w:szCs w:val="28"/>
        </w:rPr>
        <w:t xml:space="preserve">Библиотеки МБУК «ЦБС» активно принимают участие в федеральной программе культурного просвещения «Пушкинская карта», популяризируя </w:t>
      </w:r>
      <w:r>
        <w:rPr>
          <w:rFonts w:ascii="Times New Roman" w:eastAsia="Times New Roman" w:hAnsi="Times New Roman" w:cs="Times New Roman"/>
          <w:sz w:val="28"/>
          <w:szCs w:val="28"/>
        </w:rPr>
        <w:lastRenderedPageBreak/>
        <w:t>культурные мероприятия. В отчетный период для детей и молодежи                         в 15 библиотеках проводились мероприятия различных форм и направлений работы: литературные, познавательные программы, краеведческие часы, интеллектуальные игры и другие. Количество мероприятий составило 120, посетило – 1044 человек.</w:t>
      </w:r>
      <w:bookmarkEnd w:id="78"/>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 xml:space="preserve">Библиотеки МБУК «ЦБС» принимают активное участие в реализации программы «Волонтеры культуры», разработанной в рамках федерального проекта «Творческие люди» национального проекта «Культура».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 xml:space="preserve">В целях продвижения культурного </w:t>
      </w:r>
      <w:proofErr w:type="spellStart"/>
      <w:r>
        <w:rPr>
          <w:rFonts w:ascii="Times New Roman" w:eastAsia="Times New Roman" w:hAnsi="Times New Roman" w:cs="Times New Roman"/>
          <w:color w:val="000000"/>
          <w:sz w:val="28"/>
          <w:szCs w:val="28"/>
        </w:rPr>
        <w:t>волонтерства</w:t>
      </w:r>
      <w:proofErr w:type="spellEnd"/>
      <w:r>
        <w:rPr>
          <w:rFonts w:ascii="Times New Roman" w:eastAsia="Times New Roman" w:hAnsi="Times New Roman" w:cs="Times New Roman"/>
          <w:color w:val="000000"/>
          <w:sz w:val="28"/>
          <w:szCs w:val="28"/>
        </w:rPr>
        <w:t xml:space="preserve"> в 2025 году в библиотеках системы были проведены культурно-просветительские, нравственно-патриотические и экологические мероприятия: фольклорная программа «Старинный шелк былин и россыпь поговорок», литературно-игровая программа «Как на масляной неделе…»; патриотическая акция «Чистый памятник», час памяти «Маленькие герои большой войны», литературно-игровая программа «Восславим русского солдата», громкие чтения «В сердцах и книгах память о войне»; мастер-класс «Ромашковое настроение», творческий час «Полосатая история»; игра-путешествие «Жемчужины Приморья – заповедники», экологическая акция «Поможем птицам зимой» и другие.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Сотрудники библиотек активно привлекали молодежь к участию во всероссийских акциях «</w:t>
      </w:r>
      <w:proofErr w:type="spellStart"/>
      <w:r>
        <w:rPr>
          <w:rFonts w:ascii="Times New Roman" w:eastAsia="Times New Roman" w:hAnsi="Times New Roman" w:cs="Times New Roman"/>
          <w:color w:val="000000"/>
          <w:sz w:val="28"/>
          <w:szCs w:val="28"/>
        </w:rPr>
        <w:t>Библионочь</w:t>
      </w:r>
      <w:proofErr w:type="spellEnd"/>
      <w:r>
        <w:rPr>
          <w:rFonts w:ascii="Times New Roman" w:eastAsia="Times New Roman" w:hAnsi="Times New Roman" w:cs="Times New Roman"/>
          <w:color w:val="000000"/>
          <w:sz w:val="28"/>
          <w:szCs w:val="28"/>
        </w:rPr>
        <w:t xml:space="preserve"> – 2025», «Бегущая книга» и "Всероссийский день заботы о памятниках истории и культуры».</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Всего в 2025 году в рамках проекта «Волонтеры культуры» проведено 75 мероприятий. Количество привлеченных волонтеров – 54. Количество посещений мероприятий – 2 575.</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Библиотеки МБУК «ЦБС» особое внимание уделяют реализации региональной программы «Повышение финансовой грамотности и формирование финансовой культуры в Приморском крае до 2030 года», в том </w:t>
      </w:r>
      <w:r>
        <w:rPr>
          <w:rFonts w:ascii="Times New Roman" w:eastAsia="Times New Roman" w:hAnsi="Times New Roman" w:cs="Times New Roman"/>
          <w:sz w:val="28"/>
          <w:szCs w:val="28"/>
        </w:rPr>
        <w:lastRenderedPageBreak/>
        <w:t xml:space="preserve">числе участию во Всероссийской просветительской эстафете «Мои финансы».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В 2025 году для пользователей библиотек были проведены уроки финансовой грамотности, информационные часы, практикумы, деловые игры и другие форматы по основам планирования личного и семейного бюджета, ответственного кредитования, сбережения и накопления денежных средств, страхования, финансовой безопасности и рационального потребления.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Кроме того, при проведении мероприятий по финансовой грамотности сотрудниками библиотек использовались не только материалы официального просветительского ресурса «Мои финансы», но также методические материалы и полезные ресурсы, предложенные на сайте Банка России в разделе «Финансовая культура».  информационные материалы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рамках проекта Приморского края «Финансовый марафон «На финансовой волне» в Центральной городской библиотеке состоялось мероприятие «Финансовый практикум», участниками которого стали старшеклассники и студенты Регионального железнодорожного колледжа. Участники узнали, как правильно распределять бюджет, познакомились с финансовыми инструментами накопления и изучили виды страхования.  Особенно понравилась участникам «Финансовая викторина», которая позволила им в интерактивном формате освоить принципы управления финансами и правила цифровой безопасности.</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Общее количество мероприятий по финансовой грамотности 79, количество посещений 1 139.</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Кроме того, в 2025 году 10 сотрудников библиотек успешно прошли обучение по дистанционному курсу Университета Банка России «Практические финансы: от знаний к действиям, а 36 человек получили сертификаты о сдаче Всероссийского </w:t>
      </w:r>
      <w:proofErr w:type="spellStart"/>
      <w:r>
        <w:rPr>
          <w:rFonts w:ascii="Times New Roman" w:eastAsia="Times New Roman" w:hAnsi="Times New Roman" w:cs="Times New Roman"/>
          <w:sz w:val="28"/>
          <w:szCs w:val="28"/>
        </w:rPr>
        <w:t>онлайн-зачета</w:t>
      </w:r>
      <w:proofErr w:type="spellEnd"/>
      <w:r>
        <w:rPr>
          <w:rFonts w:ascii="Times New Roman" w:eastAsia="Times New Roman" w:hAnsi="Times New Roman" w:cs="Times New Roman"/>
          <w:sz w:val="28"/>
          <w:szCs w:val="28"/>
        </w:rPr>
        <w:t xml:space="preserve"> по финансовой грамотности.  </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Библиотеки активно участвуют во Всероссийских, Межрегиональных и краевых литературных акциях. </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Участие во Всероссийских акциях в 2025 году:</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Международный конкурс детской рукописной книги «Все краски Севера» приняла участие библиотека</w:t>
      </w:r>
      <w:r w:rsidR="005C6A55" w:rsidRPr="00CD1F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21 в номинации – рукописная книга своими руками;</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феврале прошла Международная акция «Наши истоки. Читаем фольклор». (приняли участие 19 библиотек, 239 человек). Проведены мероприятия для детей по произведениям устного народного творчества;</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Международный конкурс «Брат на смену брату: традиция продолжается!» направлено 7 работ, три победителя;</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Международный конкурс архивных и </w:t>
      </w:r>
      <w:proofErr w:type="spellStart"/>
      <w:r>
        <w:rPr>
          <w:rFonts w:ascii="Times New Roman" w:eastAsia="Times New Roman" w:hAnsi="Times New Roman" w:cs="Times New Roman"/>
          <w:sz w:val="28"/>
          <w:szCs w:val="28"/>
        </w:rPr>
        <w:t>поисково</w:t>
      </w:r>
      <w:proofErr w:type="spellEnd"/>
      <w:r>
        <w:rPr>
          <w:rFonts w:ascii="Times New Roman" w:eastAsia="Times New Roman" w:hAnsi="Times New Roman" w:cs="Times New Roman"/>
          <w:sz w:val="28"/>
          <w:szCs w:val="28"/>
        </w:rPr>
        <w:t xml:space="preserve"> - исследовательских и творческих работ «Герои Хасана на карте России – Герои Великой Отечественной войны», направлено 9 работ, три победителя;</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Международный конкурс краеведов, работающих с молодежью, участники ЦДБ, библиотека № 22 и библиотека № 27;</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Всероссийский конкурс «С чего начинается Родина?». Лучшие практики библиотек РФ, обслуживающих детей, по патриотическому и духовно-нравственному воспитанию, направлены 4 работы (ЦДБ, библиотеки № 1, 11, 27), получены сертификаты участника;</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10 по 16 февраля 2025 года по инициативе Российской государственной детской библиотеки и Ассоциации «Растим читателя» проходила VI</w:t>
      </w:r>
      <w:r>
        <w:rPr>
          <w:rFonts w:ascii="Times New Roman" w:eastAsia="Times New Roman" w:hAnsi="Times New Roman" w:cs="Times New Roman"/>
          <w:sz w:val="28"/>
          <w:szCs w:val="28"/>
          <w:lang w:val="en-US"/>
        </w:rPr>
        <w:t>II</w:t>
      </w:r>
      <w:r>
        <w:rPr>
          <w:rFonts w:ascii="Times New Roman" w:eastAsia="Times New Roman" w:hAnsi="Times New Roman" w:cs="Times New Roman"/>
          <w:sz w:val="28"/>
          <w:szCs w:val="28"/>
        </w:rPr>
        <w:t xml:space="preserve"> Общероссийская акция «Дарите книги с любовью!». Акция приурочена к Международному дню </w:t>
      </w:r>
      <w:proofErr w:type="spellStart"/>
      <w:r>
        <w:rPr>
          <w:rFonts w:ascii="Times New Roman" w:eastAsia="Times New Roman" w:hAnsi="Times New Roman" w:cs="Times New Roman"/>
          <w:sz w:val="28"/>
          <w:szCs w:val="28"/>
        </w:rPr>
        <w:t>книгодарения</w:t>
      </w:r>
      <w:proofErr w:type="spellEnd"/>
      <w:r>
        <w:rPr>
          <w:rFonts w:ascii="Times New Roman" w:eastAsia="Times New Roman" w:hAnsi="Times New Roman" w:cs="Times New Roman"/>
          <w:sz w:val="28"/>
          <w:szCs w:val="28"/>
        </w:rPr>
        <w:t xml:space="preserve">, который с 2012 года отмечается 14 февраля более чем в 45 странах. В рамках акции «Дарите книги с любовью – 2025» на площадках библиотек МБУК «ЦБС» традиционно был организован сбор книг. В акции приняли участие                       (204 человека): дети, подростки и взрослые, которые передали в дар более </w:t>
      </w:r>
      <w:r>
        <w:rPr>
          <w:rFonts w:ascii="Times New Roman" w:eastAsia="Times New Roman" w:hAnsi="Times New Roman" w:cs="Times New Roman"/>
          <w:sz w:val="28"/>
          <w:szCs w:val="28"/>
        </w:rPr>
        <w:lastRenderedPageBreak/>
        <w:t xml:space="preserve">300 книг, среди которых художественные и научно-популярные издания, детские книги; </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Всероссийский ежегодный литературный конкурс творческих работ «Герои Великой Победы – 2025», приняли участие библиотеки № 1, №3, </w:t>
      </w:r>
      <w:r w:rsidR="00CD1F55" w:rsidRPr="00CD1F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10, № 21, № 23;</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 Всероссийский патриотический фестиваль «День Победы». Направлено 31 работа. Итоги: библиотека № 14 - Диплом Лауреат 2 степени, Диплом Лауреат 3 степени, библиотека № 26 Дипломант 1 степени, библиотека № 25 Диплом участника;</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Всероссийская народная акция «Рисуем Победу – 2025», направлено 38 работ участников;</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Всероссийский конкурс «Семья года», муниципальном отборочном туре победила семья читателей библиотеки № 27;</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Всероссийский ежегодный конкурс «Куратор и Точка» Направлена 1 работа, в номинации: «Лучший детский </w:t>
      </w:r>
      <w:proofErr w:type="spellStart"/>
      <w:r>
        <w:rPr>
          <w:rFonts w:ascii="Times New Roman" w:eastAsia="Times New Roman" w:hAnsi="Times New Roman" w:cs="Times New Roman"/>
          <w:sz w:val="28"/>
          <w:szCs w:val="28"/>
        </w:rPr>
        <w:t>креативный</w:t>
      </w:r>
      <w:proofErr w:type="spellEnd"/>
      <w:r>
        <w:rPr>
          <w:rFonts w:ascii="Times New Roman" w:eastAsia="Times New Roman" w:hAnsi="Times New Roman" w:cs="Times New Roman"/>
          <w:sz w:val="28"/>
          <w:szCs w:val="28"/>
        </w:rPr>
        <w:t xml:space="preserve"> проект»;</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Всероссийский </w:t>
      </w:r>
      <w:proofErr w:type="spellStart"/>
      <w:r>
        <w:rPr>
          <w:rFonts w:ascii="Times New Roman" w:eastAsia="Times New Roman" w:hAnsi="Times New Roman" w:cs="Times New Roman"/>
          <w:sz w:val="28"/>
          <w:szCs w:val="28"/>
        </w:rPr>
        <w:t>детско</w:t>
      </w:r>
      <w:proofErr w:type="spellEnd"/>
      <w:r>
        <w:rPr>
          <w:rFonts w:ascii="Times New Roman" w:eastAsia="Times New Roman" w:hAnsi="Times New Roman" w:cs="Times New Roman"/>
          <w:sz w:val="28"/>
          <w:szCs w:val="28"/>
        </w:rPr>
        <w:t xml:space="preserve"> – юношеский конкурс «Волшебный мир русской сказки»; </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Всероссийский ежегодный литературный конкурс «Герои Великой Победы-2025». Конкурс в номинации «</w:t>
      </w:r>
      <w:proofErr w:type="spellStart"/>
      <w:r>
        <w:rPr>
          <w:rFonts w:ascii="Times New Roman" w:eastAsia="Times New Roman" w:hAnsi="Times New Roman" w:cs="Times New Roman"/>
          <w:sz w:val="28"/>
          <w:szCs w:val="28"/>
        </w:rPr>
        <w:t>КаZачья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CлаVа</w:t>
      </w:r>
      <w:proofErr w:type="spellEnd"/>
      <w:r>
        <w:rPr>
          <w:rFonts w:ascii="Times New Roman" w:eastAsia="Times New Roman" w:hAnsi="Times New Roman" w:cs="Times New Roman"/>
          <w:sz w:val="28"/>
          <w:szCs w:val="28"/>
        </w:rPr>
        <w:t xml:space="preserve"> России», направлено 4 работы. Получен Диплом финалиста специальной номинации «</w:t>
      </w:r>
      <w:proofErr w:type="spellStart"/>
      <w:r>
        <w:rPr>
          <w:rFonts w:ascii="Times New Roman" w:eastAsia="Times New Roman" w:hAnsi="Times New Roman" w:cs="Times New Roman"/>
          <w:sz w:val="28"/>
          <w:szCs w:val="28"/>
        </w:rPr>
        <w:t>КаZачья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СлаVа</w:t>
      </w:r>
      <w:proofErr w:type="spellEnd"/>
      <w:r>
        <w:rPr>
          <w:rFonts w:ascii="Times New Roman" w:eastAsia="Times New Roman" w:hAnsi="Times New Roman" w:cs="Times New Roman"/>
          <w:sz w:val="28"/>
          <w:szCs w:val="28"/>
        </w:rPr>
        <w:t xml:space="preserve"> России»/ «Проба пера», </w:t>
      </w:r>
      <w:proofErr w:type="spellStart"/>
      <w:r>
        <w:rPr>
          <w:rFonts w:ascii="Times New Roman" w:eastAsia="Times New Roman" w:hAnsi="Times New Roman" w:cs="Times New Roman"/>
          <w:sz w:val="28"/>
          <w:szCs w:val="28"/>
        </w:rPr>
        <w:t>библиотека№</w:t>
      </w:r>
      <w:proofErr w:type="spellEnd"/>
      <w:r>
        <w:rPr>
          <w:rFonts w:ascii="Times New Roman" w:eastAsia="Times New Roman" w:hAnsi="Times New Roman" w:cs="Times New Roman"/>
          <w:sz w:val="28"/>
          <w:szCs w:val="28"/>
        </w:rPr>
        <w:t xml:space="preserve"> 27;</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Всероссийский конкурс по праздничному оформлению витрин и входных групп, приуроченного к 80 – летней годовщине Победы в Великой Отечественной войне 1941 – 1945 годов. Участники Центральная городская библиотека;</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IX Всероссийский героико-патриотический фестиваль детского и юношеского творчества «Звезда спасения». Диплом за 1 место, библиотека                № 3;</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Всероссийский конкурс среди работников региональных и муниципальных библиотек на лучшую организацию информационно-разъяснительную работу в период подготовки и проведения выборов в органы государственной власти и органы местного самоуправления. Отмечены на региональном уровне;</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Всероссийская акция «Бегущая книга». В акции приняли участие                   13 сотрудников, 20 волонтеров, опрошено около тысячи респондентов, вручили 600 книг и рекламных буклетов о библиотеке;</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XIX Открытый Всероссийский конкурс на лучшие результаты </w:t>
      </w:r>
      <w:proofErr w:type="spellStart"/>
      <w:r>
        <w:rPr>
          <w:rFonts w:ascii="Times New Roman" w:eastAsia="Times New Roman" w:hAnsi="Times New Roman" w:cs="Times New Roman"/>
          <w:sz w:val="28"/>
          <w:szCs w:val="28"/>
        </w:rPr>
        <w:t>культурно-досуговой</w:t>
      </w:r>
      <w:proofErr w:type="spellEnd"/>
      <w:r>
        <w:rPr>
          <w:rFonts w:ascii="Times New Roman" w:eastAsia="Times New Roman" w:hAnsi="Times New Roman" w:cs="Times New Roman"/>
          <w:sz w:val="28"/>
          <w:szCs w:val="28"/>
        </w:rPr>
        <w:t xml:space="preserve"> работы учреждений культуры Российской Федерации «Золотой сокол – 2025». Участие в номинации «Лучший военно-патриотический проект учреждений культуры, общественных объединений и организаций»;</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Всероссийский конкурс «Библиотекарь года – 2025». Участники Центральная городская библиотека, в номинации «Библиотекарь года»;</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Всероссийский конкурс «Российская организация высокой социальной эффективности». 1-е е место в номинации «За трудоустройство инвалидов в организации»;</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Всероссийский конкурс молодых лидеров библиотечного дела «Будущее библиотек». Заявлен 1 участник (библиотека № 14) в номинации «Лидер сообщества»;</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Всероссийский конкурс «Великая война – Великая Победа». Отправлено 2 заявки в номинации «Работы, выполненные в сельских муниципальных библиотеках» и «Работы, выполненные в городских муниципальных библиотеках»;</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ежегодный Всероссийский конкурс «Библиотеки. </w:t>
      </w:r>
      <w:proofErr w:type="spellStart"/>
      <w:r>
        <w:rPr>
          <w:rFonts w:ascii="Times New Roman" w:eastAsia="Times New Roman" w:hAnsi="Times New Roman" w:cs="Times New Roman"/>
          <w:sz w:val="28"/>
          <w:szCs w:val="28"/>
        </w:rPr>
        <w:t>ПРОдвижение</w:t>
      </w:r>
      <w:proofErr w:type="spellEnd"/>
      <w:r>
        <w:rPr>
          <w:rFonts w:ascii="Times New Roman" w:eastAsia="Times New Roman" w:hAnsi="Times New Roman" w:cs="Times New Roman"/>
          <w:sz w:val="28"/>
          <w:szCs w:val="28"/>
        </w:rPr>
        <w:t xml:space="preserve"> – 2025». Подана 1 заявка. Номинация «Продвижение библиотеки в социальных сетях»;</w:t>
      </w:r>
    </w:p>
    <w:p w:rsidR="00B52DE3" w:rsidRDefault="00DE73E3">
      <w:pPr>
        <w:pStyle w:val="afff3"/>
        <w:spacing w:before="0"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Всероссийская акция «Сокровища русской классики»; Общероссийская библиотечная акция ко Дню отца «</w:t>
      </w:r>
      <w:proofErr w:type="spellStart"/>
      <w:r>
        <w:rPr>
          <w:rFonts w:ascii="Times New Roman" w:eastAsia="Times New Roman" w:hAnsi="Times New Roman" w:cs="Times New Roman"/>
          <w:sz w:val="28"/>
          <w:szCs w:val="28"/>
        </w:rPr>
        <w:t>БиблиоПапа</w:t>
      </w:r>
      <w:proofErr w:type="spellEnd"/>
      <w:r>
        <w:rPr>
          <w:rFonts w:ascii="Times New Roman" w:eastAsia="Times New Roman" w:hAnsi="Times New Roman" w:cs="Times New Roman"/>
          <w:sz w:val="28"/>
          <w:szCs w:val="28"/>
        </w:rPr>
        <w:t xml:space="preserve">»; Всероссийская олимпиада «Символы России. Великая Отечественная война: Путь к Победе»; Всероссийская </w:t>
      </w:r>
      <w:proofErr w:type="spellStart"/>
      <w:r>
        <w:rPr>
          <w:rFonts w:ascii="Times New Roman" w:eastAsia="Times New Roman" w:hAnsi="Times New Roman" w:cs="Times New Roman"/>
          <w:sz w:val="28"/>
          <w:szCs w:val="28"/>
        </w:rPr>
        <w:t>онлайн-олимпиада</w:t>
      </w:r>
      <w:proofErr w:type="spellEnd"/>
      <w:r>
        <w:rPr>
          <w:rFonts w:ascii="Times New Roman" w:eastAsia="Times New Roman" w:hAnsi="Times New Roman" w:cs="Times New Roman"/>
          <w:sz w:val="28"/>
          <w:szCs w:val="28"/>
        </w:rPr>
        <w:t xml:space="preserve"> «Культура вокруг нас»; Всероссийская культурно-просветительная акция «Культурный марафон 2025: классическая литература глазами детей»; Всероссийская акция «Мир народных сказок»; Краевая добровольческая акция «Весенняя неделя добра!» в рамках ежегодной общероссийской акции «Весенняя неделя добра!» проведено 6 мероприятий, посещение составило 121 человек.</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Участие в межрегиональных (краевых) конкурсах:</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краевой (региональный) смотр-конкурс практик патриотического воспитания, участники- методический отдел, направлена 1 работа, в номинации «Лучший формат мероприятия». Диплом участника;</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краевой межрегиональный конкурс художников-иллюстраторов к 80-летию Победы «Подвиги в рисунках», победители библиотека № 21 и Центральная детская библиотека;</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краевой межрегиональный конкурс художников-иллюстраторов к 80-летию Победы «Подвиги в рисунках», направлено 9 заявок;</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краевой «Весенний патриотический марафон» в рамках празднования в Приморском крае 80-летия Победы в Великой Отечественной войне и проведения Года Защитника Отечества и в рамках реализации на территории Приморского края проекта «Патриот и гражданин: Весна Победы». Участники - ЦГБ, ЦДБ;</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конкурс чтецов «С поэзией к победе!» 1, 2, 3 место в региональном туре;</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краевой конкурс «Твой проект-2026». Инициативное </w:t>
      </w:r>
      <w:proofErr w:type="spellStart"/>
      <w:r>
        <w:rPr>
          <w:rFonts w:ascii="Times New Roman" w:eastAsia="Times New Roman" w:hAnsi="Times New Roman" w:cs="Times New Roman"/>
          <w:sz w:val="28"/>
          <w:szCs w:val="28"/>
        </w:rPr>
        <w:t>бюджетирование</w:t>
      </w:r>
      <w:proofErr w:type="spellEnd"/>
      <w:r>
        <w:rPr>
          <w:rFonts w:ascii="Times New Roman" w:eastAsia="Times New Roman" w:hAnsi="Times New Roman" w:cs="Times New Roman"/>
          <w:sz w:val="28"/>
          <w:szCs w:val="28"/>
        </w:rPr>
        <w:t xml:space="preserve">. Библиотека № 27 с проектом «Аллея Героев села </w:t>
      </w:r>
      <w:proofErr w:type="spellStart"/>
      <w:r>
        <w:rPr>
          <w:rFonts w:ascii="Times New Roman" w:eastAsia="Times New Roman" w:hAnsi="Times New Roman" w:cs="Times New Roman"/>
          <w:sz w:val="28"/>
          <w:szCs w:val="28"/>
        </w:rPr>
        <w:t>Новоникольск</w:t>
      </w:r>
      <w:proofErr w:type="spellEnd"/>
      <w:r>
        <w:rPr>
          <w:rFonts w:ascii="Times New Roman" w:eastAsia="Times New Roman" w:hAnsi="Times New Roman" w:cs="Times New Roman"/>
          <w:sz w:val="28"/>
          <w:szCs w:val="28"/>
        </w:rPr>
        <w:t>»;</w:t>
      </w:r>
    </w:p>
    <w:p w:rsidR="00B52DE3" w:rsidRDefault="00DE73E3">
      <w:pPr>
        <w:pStyle w:val="afff3"/>
        <w:spacing w:before="0"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краевой конкурс на лучшее новогоднее оформление фасадов, оконных проемов, входных групп зданий и прилегающих территорий учреждений </w:t>
      </w:r>
      <w:r>
        <w:rPr>
          <w:rFonts w:ascii="Times New Roman" w:eastAsia="Times New Roman" w:hAnsi="Times New Roman" w:cs="Times New Roman"/>
          <w:sz w:val="28"/>
          <w:szCs w:val="28"/>
        </w:rPr>
        <w:lastRenderedPageBreak/>
        <w:t>культуры Приморского края. Заявлена Центральная детская библиотека в номинации «Сказка на улицах города».</w:t>
      </w:r>
    </w:p>
    <w:p w:rsidR="00B52DE3" w:rsidRDefault="00DE73E3">
      <w:pPr>
        <w:pStyle w:val="afff3"/>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Участие в муниципальных конкурсах:</w:t>
      </w:r>
    </w:p>
    <w:p w:rsidR="00B52DE3" w:rsidRDefault="00DE73E3">
      <w:pPr>
        <w:pStyle w:val="afff3"/>
        <w:spacing w:before="0"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муниципальный </w:t>
      </w:r>
      <w:proofErr w:type="spellStart"/>
      <w:r>
        <w:rPr>
          <w:rFonts w:ascii="Times New Roman" w:eastAsia="Times New Roman" w:hAnsi="Times New Roman" w:cs="Times New Roman"/>
          <w:sz w:val="28"/>
          <w:szCs w:val="28"/>
        </w:rPr>
        <w:t>онлайн</w:t>
      </w:r>
      <w:proofErr w:type="spellEnd"/>
      <w:r>
        <w:rPr>
          <w:rFonts w:ascii="Times New Roman" w:eastAsia="Times New Roman" w:hAnsi="Times New Roman" w:cs="Times New Roman"/>
          <w:sz w:val="28"/>
          <w:szCs w:val="28"/>
        </w:rPr>
        <w:t xml:space="preserve"> конкурс видеороликов «Сказки доброты»; </w:t>
      </w:r>
      <w:proofErr w:type="spellStart"/>
      <w:r>
        <w:rPr>
          <w:rFonts w:ascii="Times New Roman" w:eastAsia="Times New Roman" w:hAnsi="Times New Roman" w:cs="Times New Roman"/>
          <w:sz w:val="28"/>
          <w:szCs w:val="28"/>
        </w:rPr>
        <w:t>онлайн</w:t>
      </w:r>
      <w:proofErr w:type="spellEnd"/>
      <w:r>
        <w:rPr>
          <w:rFonts w:ascii="Times New Roman" w:eastAsia="Times New Roman" w:hAnsi="Times New Roman" w:cs="Times New Roman"/>
          <w:sz w:val="28"/>
          <w:szCs w:val="28"/>
        </w:rPr>
        <w:t xml:space="preserve"> – конкурс рисунков «</w:t>
      </w:r>
      <w:proofErr w:type="spellStart"/>
      <w:r>
        <w:rPr>
          <w:rFonts w:ascii="Times New Roman" w:eastAsia="Times New Roman" w:hAnsi="Times New Roman" w:cs="Times New Roman"/>
          <w:sz w:val="28"/>
          <w:szCs w:val="28"/>
        </w:rPr>
        <w:t>Арт</w:t>
      </w:r>
      <w:proofErr w:type="spellEnd"/>
      <w:r>
        <w:rPr>
          <w:rFonts w:ascii="Times New Roman" w:eastAsia="Times New Roman" w:hAnsi="Times New Roman" w:cs="Times New Roman"/>
          <w:sz w:val="28"/>
          <w:szCs w:val="28"/>
        </w:rPr>
        <w:t xml:space="preserve"> - Масленица», конкурс чтецов «О Родине. О мужестве» в рамках Фестиваля «Уссурийские семейные игры».  </w:t>
      </w:r>
    </w:p>
    <w:p w:rsidR="00B52DE3" w:rsidRDefault="00DE73E3">
      <w:pPr>
        <w:pStyle w:val="afff3"/>
        <w:spacing w:before="0" w:after="0" w:line="360" w:lineRule="auto"/>
        <w:ind w:firstLine="708"/>
        <w:jc w:val="both"/>
        <w:rPr>
          <w:rFonts w:ascii="Times New Roman" w:hAnsi="Times New Roman" w:cs="Times New Roman"/>
        </w:rPr>
      </w:pPr>
      <w:bookmarkStart w:id="79" w:name="_Hlk433049781"/>
      <w:bookmarkEnd w:id="79"/>
      <w:r>
        <w:rPr>
          <w:rFonts w:ascii="Times New Roman" w:eastAsia="Times New Roman" w:hAnsi="Times New Roman" w:cs="Times New Roman"/>
          <w:sz w:val="28"/>
          <w:szCs w:val="28"/>
        </w:rPr>
        <w:t>Участие в конкурсном отборе Всероссийского проекта по созданию точек концентрации талантов «Гений места». Отправлены заявки – библиотеки № 3 и № 5.</w:t>
      </w:r>
    </w:p>
    <w:p w:rsidR="00B52DE3" w:rsidRDefault="00B52DE3">
      <w:pPr>
        <w:pStyle w:val="1fe"/>
        <w:keepNext w:val="0"/>
        <w:keepLines w:val="0"/>
        <w:spacing w:before="0"/>
        <w:ind w:firstLine="0"/>
        <w:jc w:val="left"/>
      </w:pPr>
    </w:p>
    <w:p w:rsidR="00B52DE3" w:rsidRDefault="00DE73E3">
      <w:pPr>
        <w:pStyle w:val="1fe"/>
        <w:keepNext w:val="0"/>
        <w:keepLines w:val="0"/>
        <w:spacing w:before="0" w:line="240" w:lineRule="auto"/>
      </w:pPr>
      <w:bookmarkStart w:id="80" w:name="_Toc78"/>
      <w:r>
        <w:rPr>
          <w:rFonts w:eastAsia="Times New Roman"/>
          <w:lang w:eastAsia="ru-RU"/>
        </w:rPr>
        <w:t>СОЗДАНИЕ УСЛОВИЙ ДЛЯ ОРГАНИЗАЦИИ ДОСУГА И ОБЕСПЕЧЕНИЯ ЖИТЕЛЕЙ ГОРОДСКОГО ОКРУГА УСЛУГАМИ ОРГАНИЗАЦИЙ КУЛЬТУРЫ</w:t>
      </w:r>
      <w:bookmarkEnd w:id="80"/>
    </w:p>
    <w:p w:rsidR="00B52DE3" w:rsidRDefault="00B52DE3">
      <w:pPr>
        <w:widowControl w:val="0"/>
        <w:tabs>
          <w:tab w:val="left" w:pos="1120"/>
        </w:tabs>
        <w:spacing w:after="0" w:line="360" w:lineRule="auto"/>
        <w:ind w:firstLine="709"/>
        <w:jc w:val="center"/>
        <w:rPr>
          <w:rFonts w:ascii="Times New Roman" w:hAnsi="Times New Roman" w:cs="Times New Roman"/>
          <w:b/>
          <w:sz w:val="28"/>
          <w:szCs w:val="28"/>
        </w:rPr>
      </w:pPr>
    </w:p>
    <w:p w:rsidR="00B52DE3" w:rsidRDefault="00DE73E3">
      <w:pPr>
        <w:pStyle w:val="docdata1"/>
        <w:tabs>
          <w:tab w:val="left" w:pos="566"/>
          <w:tab w:val="left" w:pos="1133"/>
        </w:tabs>
        <w:spacing w:before="0" w:after="0" w:line="360" w:lineRule="auto"/>
        <w:ind w:firstLine="709"/>
        <w:jc w:val="both"/>
        <w:rPr>
          <w:sz w:val="28"/>
          <w:szCs w:val="28"/>
        </w:rPr>
      </w:pPr>
      <w:r>
        <w:rPr>
          <w:color w:val="000000"/>
          <w:sz w:val="28"/>
          <w:szCs w:val="28"/>
        </w:rPr>
        <w:t xml:space="preserve">Основные задачи деятельности учреждений </w:t>
      </w:r>
      <w:proofErr w:type="spellStart"/>
      <w:r>
        <w:rPr>
          <w:color w:val="000000"/>
          <w:sz w:val="28"/>
          <w:szCs w:val="28"/>
        </w:rPr>
        <w:t>культурно-досугового</w:t>
      </w:r>
      <w:proofErr w:type="spellEnd"/>
      <w:r>
        <w:rPr>
          <w:color w:val="000000"/>
          <w:sz w:val="28"/>
          <w:szCs w:val="28"/>
        </w:rPr>
        <w:t xml:space="preserve"> типа (МАУК «МЦКД «Горизонт» УГО ПК, МБУК «Централизованная клубная система» УГО ПК) – это осуществление муниципальной политики в области культуры и искусства, сохранение и развитие местного народного творчества, организация и проведение </w:t>
      </w:r>
      <w:proofErr w:type="spellStart"/>
      <w:r>
        <w:rPr>
          <w:color w:val="000000"/>
          <w:sz w:val="28"/>
          <w:szCs w:val="28"/>
        </w:rPr>
        <w:t>культурно-досуговых</w:t>
      </w:r>
      <w:proofErr w:type="spellEnd"/>
      <w:r>
        <w:rPr>
          <w:color w:val="000000"/>
          <w:sz w:val="28"/>
          <w:szCs w:val="28"/>
        </w:rPr>
        <w:t xml:space="preserve"> мероприятий для населения, создание и организация работы любительских творческих коллективов, кружков, студий, любительских объединений, клубов по интересам различной направленности и других клубных формирований. Исходя из задач, работа учреждений ведется по двум направлениям: организация работы клубных формирований и проведение культурно–массовых мероприятий.</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В 2025 году было реализовано 4 направления деятельности клубных формирований: художественно-творческое, творческо-прикладное, спортивно-оздоровительное и культурно–просветительское.</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Cs/>
          <w:color w:val="000000"/>
          <w:sz w:val="28"/>
          <w:szCs w:val="28"/>
        </w:rPr>
        <w:t xml:space="preserve">В 2025 году в МАУК «МЦКД «Горизонт» (филиал ЦКД «Искра», филиал ДК «Дружба») работало 79 клубных формирования (19 на платной </w:t>
      </w:r>
      <w:r>
        <w:rPr>
          <w:rFonts w:ascii="Times New Roman" w:eastAsia="Times New Roman" w:hAnsi="Times New Roman" w:cs="Times New Roman"/>
          <w:bCs/>
          <w:color w:val="000000"/>
          <w:sz w:val="28"/>
          <w:szCs w:val="28"/>
        </w:rPr>
        <w:lastRenderedPageBreak/>
        <w:t>основе и 60 на бесплатной), общее количество участников клубных формирований (251 на платной и 1088 на бесплатной основе) составляло 1339 человек</w:t>
      </w:r>
      <w:r>
        <w:rPr>
          <w:rFonts w:ascii="Times New Roman" w:eastAsia="Times New Roman" w:hAnsi="Times New Roman" w:cs="Times New Roman"/>
          <w:color w:val="000000" w:themeColor="dark1"/>
          <w:sz w:val="28"/>
          <w:szCs w:val="28"/>
          <w:lang w:eastAsia="ru-RU"/>
        </w:rPr>
        <w:t>. Данные представлены ниже в таблицах.</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i/>
          <w:iCs/>
          <w:color w:val="000000" w:themeColor="dark1"/>
          <w:sz w:val="28"/>
          <w:szCs w:val="28"/>
          <w:lang w:eastAsia="ru-RU"/>
        </w:rPr>
        <w:t xml:space="preserve">Количество клубных формирований и количество участников  в 2025 г. </w:t>
      </w:r>
    </w:p>
    <w:tbl>
      <w:tblPr>
        <w:tblW w:w="9125" w:type="dxa"/>
        <w:jc w:val="center"/>
        <w:tblLayout w:type="fixed"/>
        <w:tblLook w:val="04A0"/>
      </w:tblPr>
      <w:tblGrid>
        <w:gridCol w:w="2036"/>
        <w:gridCol w:w="853"/>
        <w:gridCol w:w="1134"/>
        <w:gridCol w:w="1418"/>
        <w:gridCol w:w="1132"/>
        <w:gridCol w:w="1113"/>
        <w:gridCol w:w="1439"/>
      </w:tblGrid>
      <w:tr w:rsidR="00B52DE3">
        <w:trPr>
          <w:trHeight w:val="245"/>
          <w:jc w:val="center"/>
        </w:trPr>
        <w:tc>
          <w:tcPr>
            <w:tcW w:w="2035" w:type="dxa"/>
            <w:vMerge w:val="restart"/>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Период</w:t>
            </w:r>
          </w:p>
        </w:tc>
        <w:tc>
          <w:tcPr>
            <w:tcW w:w="3405" w:type="dxa"/>
            <w:gridSpan w:val="3"/>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Количество клубных формирований</w:t>
            </w:r>
          </w:p>
        </w:tc>
        <w:tc>
          <w:tcPr>
            <w:tcW w:w="3684" w:type="dxa"/>
            <w:gridSpan w:val="3"/>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Количество участников</w:t>
            </w:r>
          </w:p>
        </w:tc>
      </w:tr>
      <w:tr w:rsidR="00B52DE3">
        <w:trPr>
          <w:trHeight w:val="420"/>
          <w:jc w:val="center"/>
        </w:trPr>
        <w:tc>
          <w:tcPr>
            <w:tcW w:w="2035" w:type="dxa"/>
            <w:vMerge/>
            <w:tcBorders>
              <w:top w:val="single" w:sz="4" w:space="0" w:color="000000"/>
              <w:left w:val="single" w:sz="4" w:space="0" w:color="000000"/>
              <w:bottom w:val="single" w:sz="4" w:space="0" w:color="000000"/>
              <w:right w:val="single" w:sz="4" w:space="0" w:color="000000"/>
            </w:tcBorders>
            <w:vAlign w:val="center"/>
          </w:tcPr>
          <w:p w:rsidR="00B52DE3" w:rsidRDefault="00B52DE3"/>
        </w:tc>
        <w:tc>
          <w:tcPr>
            <w:tcW w:w="85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Общее</w:t>
            </w:r>
          </w:p>
        </w:tc>
        <w:tc>
          <w:tcPr>
            <w:tcW w:w="1134"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 xml:space="preserve">По </w:t>
            </w:r>
            <w:proofErr w:type="spellStart"/>
            <w:r>
              <w:rPr>
                <w:rFonts w:ascii="Times New Roman" w:eastAsia="Times New Roman" w:hAnsi="Times New Roman" w:cs="Times New Roman"/>
                <w:color w:val="000000" w:themeColor="dark1"/>
                <w:sz w:val="27"/>
                <w:szCs w:val="27"/>
                <w:lang w:eastAsia="ru-RU"/>
              </w:rPr>
              <w:t>мун</w:t>
            </w:r>
            <w:proofErr w:type="spellEnd"/>
            <w:r>
              <w:rPr>
                <w:rFonts w:ascii="Times New Roman" w:eastAsia="Times New Roman" w:hAnsi="Times New Roman" w:cs="Times New Roman"/>
                <w:color w:val="000000" w:themeColor="dark1"/>
                <w:sz w:val="27"/>
                <w:szCs w:val="27"/>
                <w:lang w:eastAsia="ru-RU"/>
              </w:rPr>
              <w:t>. заданию</w:t>
            </w:r>
          </w:p>
        </w:tc>
        <w:tc>
          <w:tcPr>
            <w:tcW w:w="1418"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На платной основе</w:t>
            </w:r>
          </w:p>
        </w:tc>
        <w:tc>
          <w:tcPr>
            <w:tcW w:w="1132"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Общее</w:t>
            </w:r>
          </w:p>
        </w:tc>
        <w:tc>
          <w:tcPr>
            <w:tcW w:w="111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 xml:space="preserve">По </w:t>
            </w:r>
            <w:proofErr w:type="spellStart"/>
            <w:r>
              <w:rPr>
                <w:rFonts w:ascii="Times New Roman" w:eastAsia="Times New Roman" w:hAnsi="Times New Roman" w:cs="Times New Roman"/>
                <w:color w:val="000000" w:themeColor="dark1"/>
                <w:sz w:val="27"/>
                <w:szCs w:val="27"/>
                <w:lang w:eastAsia="ru-RU"/>
              </w:rPr>
              <w:t>мун</w:t>
            </w:r>
            <w:proofErr w:type="spellEnd"/>
            <w:r>
              <w:rPr>
                <w:rFonts w:ascii="Times New Roman" w:eastAsia="Times New Roman" w:hAnsi="Times New Roman" w:cs="Times New Roman"/>
                <w:color w:val="000000" w:themeColor="dark1"/>
                <w:sz w:val="27"/>
                <w:szCs w:val="27"/>
                <w:lang w:eastAsia="ru-RU"/>
              </w:rPr>
              <w:t>. заданию</w:t>
            </w:r>
          </w:p>
        </w:tc>
        <w:tc>
          <w:tcPr>
            <w:tcW w:w="1439"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На платной основе</w:t>
            </w:r>
          </w:p>
        </w:tc>
      </w:tr>
      <w:tr w:rsidR="00B52DE3">
        <w:trPr>
          <w:jc w:val="center"/>
        </w:trPr>
        <w:tc>
          <w:tcPr>
            <w:tcW w:w="2035"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2024 г.</w:t>
            </w:r>
          </w:p>
        </w:tc>
        <w:tc>
          <w:tcPr>
            <w:tcW w:w="85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75</w:t>
            </w:r>
          </w:p>
        </w:tc>
        <w:tc>
          <w:tcPr>
            <w:tcW w:w="1134"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60</w:t>
            </w:r>
          </w:p>
        </w:tc>
        <w:tc>
          <w:tcPr>
            <w:tcW w:w="1418"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15</w:t>
            </w:r>
          </w:p>
        </w:tc>
        <w:tc>
          <w:tcPr>
            <w:tcW w:w="1132"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1390</w:t>
            </w:r>
          </w:p>
        </w:tc>
        <w:tc>
          <w:tcPr>
            <w:tcW w:w="111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1120</w:t>
            </w:r>
          </w:p>
        </w:tc>
        <w:tc>
          <w:tcPr>
            <w:tcW w:w="1439"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270</w:t>
            </w:r>
          </w:p>
        </w:tc>
      </w:tr>
      <w:tr w:rsidR="00B52DE3">
        <w:trPr>
          <w:jc w:val="center"/>
        </w:trPr>
        <w:tc>
          <w:tcPr>
            <w:tcW w:w="2035"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2025 г.</w:t>
            </w:r>
          </w:p>
        </w:tc>
        <w:tc>
          <w:tcPr>
            <w:tcW w:w="85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79</w:t>
            </w:r>
          </w:p>
        </w:tc>
        <w:tc>
          <w:tcPr>
            <w:tcW w:w="1134"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60</w:t>
            </w:r>
          </w:p>
        </w:tc>
        <w:tc>
          <w:tcPr>
            <w:tcW w:w="1418"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19</w:t>
            </w:r>
          </w:p>
        </w:tc>
        <w:tc>
          <w:tcPr>
            <w:tcW w:w="1132"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1339</w:t>
            </w:r>
          </w:p>
        </w:tc>
        <w:tc>
          <w:tcPr>
            <w:tcW w:w="111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1088</w:t>
            </w:r>
          </w:p>
        </w:tc>
        <w:tc>
          <w:tcPr>
            <w:tcW w:w="1439"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251</w:t>
            </w:r>
          </w:p>
        </w:tc>
      </w:tr>
    </w:tbl>
    <w:p w:rsidR="00B52DE3" w:rsidRDefault="00B52DE3">
      <w:pPr>
        <w:spacing w:after="0" w:line="360" w:lineRule="auto"/>
        <w:ind w:firstLine="709"/>
        <w:jc w:val="both"/>
        <w:rPr>
          <w:rFonts w:ascii="Times New Roman" w:hAnsi="Times New Roman" w:cs="Times New Roman"/>
          <w:sz w:val="28"/>
          <w:szCs w:val="28"/>
        </w:rPr>
      </w:pPr>
    </w:p>
    <w:p w:rsidR="00B52DE3" w:rsidRDefault="00DE73E3">
      <w:pPr>
        <w:spacing w:after="0" w:line="360" w:lineRule="auto"/>
        <w:ind w:firstLine="709"/>
        <w:jc w:val="both"/>
        <w:rPr>
          <w:rFonts w:ascii="Times New Roman" w:eastAsia="Times New Roman" w:hAnsi="Times New Roman" w:cs="Times New Roman"/>
          <w:color w:val="000000" w:themeColor="dark1"/>
          <w:sz w:val="28"/>
          <w:szCs w:val="28"/>
          <w:lang w:eastAsia="ru-RU"/>
        </w:rPr>
      </w:pPr>
      <w:r>
        <w:rPr>
          <w:rFonts w:ascii="Times New Roman" w:eastAsia="Times New Roman" w:hAnsi="Times New Roman" w:cs="Times New Roman"/>
          <w:color w:val="000000" w:themeColor="dark1"/>
          <w:sz w:val="28"/>
          <w:szCs w:val="28"/>
          <w:lang w:eastAsia="ru-RU"/>
        </w:rPr>
        <w:t xml:space="preserve">В 2025 году осуществляло деятельность 60 клубных формирований                    (из них в МАУК «МЦКД «Горизонт» – 20, в филиале ДК «Дружба» – 20, в филиале ЦКД «Искра» – 20) на бесплатной основе. Численность участников клубных формирований на бесплатной основе составляла 1088 человека.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В 2025 году на платной основе осуществляло деятельность клубных формирований (из них в МАУК «МЦКД «</w:t>
      </w:r>
      <w:r>
        <w:rPr>
          <w:rFonts w:ascii="Times New Roman" w:eastAsia="Times New Roman" w:hAnsi="Times New Roman" w:cs="Times New Roman"/>
          <w:sz w:val="28"/>
          <w:szCs w:val="28"/>
          <w:lang w:eastAsia="ru-RU"/>
        </w:rPr>
        <w:t xml:space="preserve">Горизонт» – 2, в филиале                         ДК «Дружба» – 8, в филиале ЦКД «Искра» – 9). </w:t>
      </w:r>
      <w:r>
        <w:rPr>
          <w:rFonts w:ascii="Times New Roman" w:eastAsia="Times New Roman" w:hAnsi="Times New Roman" w:cs="Times New Roman"/>
          <w:color w:val="000000" w:themeColor="dark1"/>
          <w:sz w:val="28"/>
          <w:szCs w:val="28"/>
          <w:lang w:eastAsia="ru-RU"/>
        </w:rPr>
        <w:t xml:space="preserve">Численность участников клубных формирований на платной основе составляла 251 человек. </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Клубные формирования МАУК «МЦКД «Горизонт» объединили талантливых и увлеченных творчеством участников, причем 80,2 % от общего числа участников, а это 1060 человек – дети и молодежь в возрасте от 3–</w:t>
      </w:r>
      <w:proofErr w:type="spellStart"/>
      <w:r>
        <w:rPr>
          <w:rFonts w:ascii="Times New Roman" w:eastAsia="Times New Roman" w:hAnsi="Times New Roman" w:cs="Times New Roman"/>
          <w:color w:val="000000" w:themeColor="dark1"/>
          <w:sz w:val="28"/>
          <w:szCs w:val="28"/>
          <w:lang w:eastAsia="ru-RU"/>
        </w:rPr>
        <w:t>х</w:t>
      </w:r>
      <w:proofErr w:type="spellEnd"/>
      <w:r>
        <w:rPr>
          <w:rFonts w:ascii="Times New Roman" w:eastAsia="Times New Roman" w:hAnsi="Times New Roman" w:cs="Times New Roman"/>
          <w:color w:val="000000" w:themeColor="dark1"/>
          <w:sz w:val="28"/>
          <w:szCs w:val="28"/>
          <w:lang w:eastAsia="ru-RU"/>
        </w:rPr>
        <w:t xml:space="preserve"> до 35 лет.</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 xml:space="preserve">По результатам работы за 2025 год творческие коллективы учреждения достигли значительных показателей на фестивалях и конкурсах международного, всероссийского, регионального и краевого уровнях. </w:t>
      </w:r>
    </w:p>
    <w:p w:rsidR="00B52DE3" w:rsidRDefault="00DE73E3">
      <w:pPr>
        <w:spacing w:after="0" w:line="360" w:lineRule="auto"/>
        <w:jc w:val="both"/>
        <w:rPr>
          <w:rFonts w:ascii="Times New Roman" w:hAnsi="Times New Roman" w:cs="Times New Roman"/>
          <w:sz w:val="28"/>
          <w:szCs w:val="28"/>
        </w:rPr>
      </w:pPr>
      <w:r>
        <w:rPr>
          <w:rFonts w:ascii="Times New Roman" w:eastAsia="Times New Roman" w:hAnsi="Times New Roman" w:cs="Times New Roman"/>
          <w:i/>
          <w:iCs/>
          <w:sz w:val="28"/>
          <w:szCs w:val="28"/>
        </w:rPr>
        <w:t>Количество призовых мест в фестивалях и конкурсах различного уровня в 2025 г.</w:t>
      </w:r>
    </w:p>
    <w:tbl>
      <w:tblPr>
        <w:tblW w:w="10632" w:type="dxa"/>
        <w:tblInd w:w="-601" w:type="dxa"/>
        <w:tblLayout w:type="fixed"/>
        <w:tblLook w:val="04A0"/>
      </w:tblPr>
      <w:tblGrid>
        <w:gridCol w:w="851"/>
        <w:gridCol w:w="568"/>
        <w:gridCol w:w="709"/>
        <w:gridCol w:w="848"/>
        <w:gridCol w:w="739"/>
        <w:gridCol w:w="851"/>
        <w:gridCol w:w="849"/>
        <w:gridCol w:w="851"/>
        <w:gridCol w:w="709"/>
        <w:gridCol w:w="821"/>
        <w:gridCol w:w="708"/>
        <w:gridCol w:w="739"/>
        <w:gridCol w:w="678"/>
        <w:gridCol w:w="711"/>
      </w:tblGrid>
      <w:tr w:rsidR="00B52DE3">
        <w:trPr>
          <w:trHeight w:val="882"/>
        </w:trPr>
        <w:tc>
          <w:tcPr>
            <w:tcW w:w="850"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Уровень фестиваля/</w:t>
            </w:r>
          </w:p>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конкурса</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Кол-во</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Золото</w:t>
            </w:r>
          </w:p>
        </w:tc>
        <w:tc>
          <w:tcPr>
            <w:tcW w:w="84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Серебро</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Бронза</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Лауреат 1</w:t>
            </w:r>
          </w:p>
        </w:tc>
        <w:tc>
          <w:tcPr>
            <w:tcW w:w="84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Лауреат 2</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Лауреат 3</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Дипломант 1</w:t>
            </w:r>
          </w:p>
        </w:tc>
        <w:tc>
          <w:tcPr>
            <w:tcW w:w="82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Дипломант 2</w:t>
            </w:r>
          </w:p>
        </w:tc>
        <w:tc>
          <w:tcPr>
            <w:tcW w:w="70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Дипломант 3</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Дипломант</w:t>
            </w:r>
          </w:p>
        </w:tc>
        <w:tc>
          <w:tcPr>
            <w:tcW w:w="67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Диплом участника</w:t>
            </w:r>
          </w:p>
        </w:tc>
        <w:tc>
          <w:tcPr>
            <w:tcW w:w="71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color w:val="000000" w:themeColor="dark1"/>
                <w:sz w:val="16"/>
                <w:szCs w:val="27"/>
                <w:lang w:eastAsia="ru-RU"/>
              </w:rPr>
              <w:t>ГРАНПРИ</w:t>
            </w:r>
          </w:p>
        </w:tc>
      </w:tr>
      <w:tr w:rsidR="00B52DE3">
        <w:tc>
          <w:tcPr>
            <w:tcW w:w="850"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Междун</w:t>
            </w:r>
            <w:r>
              <w:rPr>
                <w:rFonts w:ascii="Times New Roman" w:eastAsia="Times New Roman" w:hAnsi="Times New Roman" w:cs="Times New Roman"/>
                <w:b/>
                <w:bCs/>
                <w:color w:val="000000" w:themeColor="dark1"/>
                <w:sz w:val="16"/>
                <w:szCs w:val="27"/>
                <w:lang w:eastAsia="ru-RU"/>
              </w:rPr>
              <w:lastRenderedPageBreak/>
              <w:t>ародный</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lastRenderedPageBreak/>
              <w:t>37</w:t>
            </w:r>
          </w:p>
        </w:tc>
        <w:tc>
          <w:tcPr>
            <w:tcW w:w="70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84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w:t>
            </w:r>
          </w:p>
        </w:tc>
        <w:tc>
          <w:tcPr>
            <w:tcW w:w="73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36</w:t>
            </w:r>
          </w:p>
        </w:tc>
        <w:tc>
          <w:tcPr>
            <w:tcW w:w="84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14</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3</w:t>
            </w:r>
          </w:p>
        </w:tc>
        <w:tc>
          <w:tcPr>
            <w:tcW w:w="70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821"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08"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3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678"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11"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r>
      <w:tr w:rsidR="00B52DE3">
        <w:tc>
          <w:tcPr>
            <w:tcW w:w="850"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lastRenderedPageBreak/>
              <w:t>Всероссийский</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9</w:t>
            </w:r>
          </w:p>
        </w:tc>
        <w:tc>
          <w:tcPr>
            <w:tcW w:w="70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848"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3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7</w:t>
            </w:r>
          </w:p>
        </w:tc>
        <w:tc>
          <w:tcPr>
            <w:tcW w:w="84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3</w:t>
            </w:r>
          </w:p>
        </w:tc>
        <w:tc>
          <w:tcPr>
            <w:tcW w:w="851"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0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821"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08"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3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678"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1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w:t>
            </w:r>
          </w:p>
        </w:tc>
      </w:tr>
      <w:tr w:rsidR="00B52DE3">
        <w:tc>
          <w:tcPr>
            <w:tcW w:w="850"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Краевой</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97</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35</w:t>
            </w:r>
          </w:p>
        </w:tc>
        <w:tc>
          <w:tcPr>
            <w:tcW w:w="84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21</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12</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3</w:t>
            </w:r>
          </w:p>
        </w:tc>
        <w:tc>
          <w:tcPr>
            <w:tcW w:w="84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8</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9</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5</w:t>
            </w:r>
          </w:p>
        </w:tc>
        <w:tc>
          <w:tcPr>
            <w:tcW w:w="82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4</w:t>
            </w:r>
          </w:p>
        </w:tc>
        <w:tc>
          <w:tcPr>
            <w:tcW w:w="70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3</w:t>
            </w:r>
          </w:p>
        </w:tc>
        <w:tc>
          <w:tcPr>
            <w:tcW w:w="73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67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w:t>
            </w:r>
          </w:p>
        </w:tc>
        <w:tc>
          <w:tcPr>
            <w:tcW w:w="711"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r>
      <w:tr w:rsidR="00B52DE3">
        <w:tc>
          <w:tcPr>
            <w:tcW w:w="850"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Региональный / Дальневосточный</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172</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38</w:t>
            </w:r>
          </w:p>
        </w:tc>
        <w:tc>
          <w:tcPr>
            <w:tcW w:w="84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24</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20</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25</w:t>
            </w:r>
          </w:p>
        </w:tc>
        <w:tc>
          <w:tcPr>
            <w:tcW w:w="84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36</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34</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4</w:t>
            </w:r>
          </w:p>
        </w:tc>
        <w:tc>
          <w:tcPr>
            <w:tcW w:w="82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w:t>
            </w:r>
          </w:p>
        </w:tc>
        <w:tc>
          <w:tcPr>
            <w:tcW w:w="70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4</w:t>
            </w:r>
          </w:p>
        </w:tc>
        <w:tc>
          <w:tcPr>
            <w:tcW w:w="678"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1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w:t>
            </w:r>
          </w:p>
        </w:tc>
      </w:tr>
      <w:tr w:rsidR="00B52DE3">
        <w:tc>
          <w:tcPr>
            <w:tcW w:w="850"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Муниципальный/Открытый</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28</w:t>
            </w:r>
          </w:p>
        </w:tc>
        <w:tc>
          <w:tcPr>
            <w:tcW w:w="70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848"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3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9</w:t>
            </w:r>
          </w:p>
        </w:tc>
        <w:tc>
          <w:tcPr>
            <w:tcW w:w="84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9</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5</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3</w:t>
            </w:r>
          </w:p>
        </w:tc>
        <w:tc>
          <w:tcPr>
            <w:tcW w:w="821"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08"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22</w:t>
            </w:r>
          </w:p>
        </w:tc>
        <w:tc>
          <w:tcPr>
            <w:tcW w:w="678"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11"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r>
      <w:tr w:rsidR="00B52DE3">
        <w:tc>
          <w:tcPr>
            <w:tcW w:w="850"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Межмуниципальный</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76</w:t>
            </w:r>
          </w:p>
        </w:tc>
        <w:tc>
          <w:tcPr>
            <w:tcW w:w="70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848"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73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12</w:t>
            </w:r>
          </w:p>
        </w:tc>
        <w:tc>
          <w:tcPr>
            <w:tcW w:w="84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18</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18</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7</w:t>
            </w:r>
          </w:p>
        </w:tc>
        <w:tc>
          <w:tcPr>
            <w:tcW w:w="82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w:t>
            </w:r>
          </w:p>
        </w:tc>
        <w:tc>
          <w:tcPr>
            <w:tcW w:w="70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16</w:t>
            </w:r>
          </w:p>
        </w:tc>
        <w:tc>
          <w:tcPr>
            <w:tcW w:w="67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w:t>
            </w:r>
          </w:p>
        </w:tc>
        <w:tc>
          <w:tcPr>
            <w:tcW w:w="711" w:type="dxa"/>
            <w:tcBorders>
              <w:top w:val="single" w:sz="4" w:space="0" w:color="000000"/>
              <w:left w:val="single" w:sz="4" w:space="0" w:color="000000"/>
              <w:bottom w:val="single" w:sz="4" w:space="0" w:color="000000"/>
              <w:right w:val="single" w:sz="4" w:space="0" w:color="000000"/>
            </w:tcBorders>
          </w:tcPr>
          <w:p w:rsidR="00B52DE3" w:rsidRDefault="00B52DE3">
            <w:pPr>
              <w:spacing w:after="0" w:line="240" w:lineRule="auto"/>
              <w:jc w:val="center"/>
              <w:rPr>
                <w:rFonts w:ascii="Times New Roman" w:hAnsi="Times New Roman" w:cs="Times New Roman"/>
                <w:b/>
                <w:bCs/>
                <w:color w:val="000000" w:themeColor="dark1"/>
                <w:sz w:val="16"/>
                <w:szCs w:val="27"/>
              </w:rPr>
            </w:pPr>
          </w:p>
        </w:tc>
      </w:tr>
      <w:tr w:rsidR="00B52DE3">
        <w:tc>
          <w:tcPr>
            <w:tcW w:w="850"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ИТОГО:</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419</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73</w:t>
            </w:r>
          </w:p>
        </w:tc>
        <w:tc>
          <w:tcPr>
            <w:tcW w:w="84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46</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22</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92</w:t>
            </w:r>
          </w:p>
        </w:tc>
        <w:tc>
          <w:tcPr>
            <w:tcW w:w="84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88</w:t>
            </w:r>
          </w:p>
        </w:tc>
        <w:tc>
          <w:tcPr>
            <w:tcW w:w="85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69</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19</w:t>
            </w:r>
          </w:p>
        </w:tc>
        <w:tc>
          <w:tcPr>
            <w:tcW w:w="82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7</w:t>
            </w:r>
          </w:p>
        </w:tc>
        <w:tc>
          <w:tcPr>
            <w:tcW w:w="70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5</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42</w:t>
            </w:r>
          </w:p>
        </w:tc>
        <w:tc>
          <w:tcPr>
            <w:tcW w:w="67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4</w:t>
            </w:r>
          </w:p>
        </w:tc>
        <w:tc>
          <w:tcPr>
            <w:tcW w:w="71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color w:val="000000" w:themeColor="dark1"/>
              </w:rPr>
            </w:pPr>
            <w:r>
              <w:rPr>
                <w:rFonts w:ascii="Times New Roman" w:eastAsia="Times New Roman" w:hAnsi="Times New Roman" w:cs="Times New Roman"/>
                <w:b/>
                <w:bCs/>
                <w:color w:val="000000" w:themeColor="dark1"/>
                <w:sz w:val="16"/>
                <w:szCs w:val="27"/>
                <w:lang w:eastAsia="ru-RU"/>
              </w:rPr>
              <w:t>2</w:t>
            </w:r>
          </w:p>
        </w:tc>
      </w:tr>
    </w:tbl>
    <w:p w:rsidR="00B52DE3" w:rsidRDefault="00B52DE3">
      <w:pPr>
        <w:spacing w:after="0" w:line="360" w:lineRule="auto"/>
        <w:ind w:firstLine="708"/>
        <w:jc w:val="both"/>
        <w:rPr>
          <w:rFonts w:ascii="Times New Roman" w:hAnsi="Times New Roman" w:cs="Times New Roman"/>
          <w:bCs/>
          <w:i/>
          <w:sz w:val="27"/>
          <w:szCs w:val="27"/>
        </w:rPr>
      </w:pPr>
    </w:p>
    <w:tbl>
      <w:tblPr>
        <w:tblW w:w="10377" w:type="dxa"/>
        <w:tblInd w:w="-601" w:type="dxa"/>
        <w:tblLayout w:type="fixed"/>
        <w:tblLook w:val="04A0"/>
      </w:tblPr>
      <w:tblGrid>
        <w:gridCol w:w="4707"/>
        <w:gridCol w:w="5670"/>
      </w:tblGrid>
      <w:tr w:rsidR="00B52DE3">
        <w:tc>
          <w:tcPr>
            <w:tcW w:w="470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bookmarkStart w:id="81" w:name="_Hlk187838381"/>
            <w:bookmarkEnd w:id="81"/>
            <w:r>
              <w:rPr>
                <w:rFonts w:ascii="Times New Roman" w:eastAsia="Times New Roman" w:hAnsi="Times New Roman" w:cs="Times New Roman"/>
                <w:b/>
                <w:sz w:val="27"/>
                <w:szCs w:val="27"/>
                <w:lang w:eastAsia="ru-RU"/>
              </w:rPr>
              <w:t>Уровень фестиваля/конкурса</w:t>
            </w:r>
          </w:p>
        </w:tc>
        <w:tc>
          <w:tcPr>
            <w:tcW w:w="56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b/>
                <w:sz w:val="27"/>
                <w:szCs w:val="27"/>
                <w:lang w:eastAsia="ru-RU"/>
              </w:rPr>
              <w:t>Количество участников</w:t>
            </w:r>
          </w:p>
        </w:tc>
      </w:tr>
      <w:tr w:rsidR="00B52DE3">
        <w:tc>
          <w:tcPr>
            <w:tcW w:w="470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7"/>
                <w:szCs w:val="27"/>
                <w:lang w:eastAsia="ru-RU"/>
              </w:rPr>
              <w:t>Международный</w:t>
            </w:r>
          </w:p>
        </w:tc>
        <w:tc>
          <w:tcPr>
            <w:tcW w:w="56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b/>
                <w:bCs/>
                <w:sz w:val="27"/>
                <w:szCs w:val="27"/>
                <w:lang w:eastAsia="ru-RU"/>
              </w:rPr>
              <w:t>301</w:t>
            </w:r>
          </w:p>
        </w:tc>
      </w:tr>
      <w:tr w:rsidR="00B52DE3">
        <w:tc>
          <w:tcPr>
            <w:tcW w:w="470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7"/>
                <w:szCs w:val="27"/>
                <w:lang w:eastAsia="ru-RU"/>
              </w:rPr>
              <w:t>Всероссийский</w:t>
            </w:r>
          </w:p>
        </w:tc>
        <w:tc>
          <w:tcPr>
            <w:tcW w:w="56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b/>
                <w:bCs/>
                <w:sz w:val="27"/>
                <w:szCs w:val="27"/>
                <w:lang w:eastAsia="ru-RU"/>
              </w:rPr>
              <w:t>60</w:t>
            </w:r>
          </w:p>
        </w:tc>
      </w:tr>
      <w:tr w:rsidR="00B52DE3">
        <w:tc>
          <w:tcPr>
            <w:tcW w:w="470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7"/>
                <w:szCs w:val="27"/>
                <w:lang w:eastAsia="ru-RU"/>
              </w:rPr>
              <w:t>Краевой</w:t>
            </w:r>
          </w:p>
        </w:tc>
        <w:tc>
          <w:tcPr>
            <w:tcW w:w="56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b/>
                <w:bCs/>
                <w:sz w:val="27"/>
                <w:szCs w:val="27"/>
                <w:lang w:eastAsia="ru-RU"/>
              </w:rPr>
              <w:t>306</w:t>
            </w:r>
          </w:p>
        </w:tc>
      </w:tr>
      <w:tr w:rsidR="00B52DE3">
        <w:tc>
          <w:tcPr>
            <w:tcW w:w="470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7"/>
                <w:szCs w:val="27"/>
                <w:lang w:eastAsia="ru-RU"/>
              </w:rPr>
              <w:t>Региональный / Дальневосточный</w:t>
            </w:r>
          </w:p>
        </w:tc>
        <w:tc>
          <w:tcPr>
            <w:tcW w:w="56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b/>
                <w:bCs/>
                <w:sz w:val="27"/>
                <w:szCs w:val="27"/>
                <w:lang w:eastAsia="ru-RU"/>
              </w:rPr>
              <w:t>962</w:t>
            </w:r>
          </w:p>
        </w:tc>
      </w:tr>
      <w:tr w:rsidR="00B52DE3">
        <w:tc>
          <w:tcPr>
            <w:tcW w:w="470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7"/>
                <w:szCs w:val="27"/>
                <w:lang w:eastAsia="ru-RU"/>
              </w:rPr>
              <w:t>Муниципальный/ Открытый</w:t>
            </w:r>
          </w:p>
        </w:tc>
        <w:tc>
          <w:tcPr>
            <w:tcW w:w="56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b/>
                <w:bCs/>
                <w:sz w:val="27"/>
                <w:szCs w:val="27"/>
                <w:lang w:eastAsia="ru-RU"/>
              </w:rPr>
              <w:t>796</w:t>
            </w:r>
          </w:p>
        </w:tc>
      </w:tr>
      <w:tr w:rsidR="00B52DE3">
        <w:tc>
          <w:tcPr>
            <w:tcW w:w="470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7"/>
                <w:szCs w:val="27"/>
                <w:lang w:eastAsia="ru-RU"/>
              </w:rPr>
              <w:t>Межмуниципальный</w:t>
            </w:r>
          </w:p>
        </w:tc>
        <w:tc>
          <w:tcPr>
            <w:tcW w:w="56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b/>
                <w:bCs/>
                <w:sz w:val="27"/>
                <w:szCs w:val="27"/>
                <w:lang w:eastAsia="ru-RU"/>
              </w:rPr>
              <w:t>143</w:t>
            </w:r>
          </w:p>
        </w:tc>
      </w:tr>
      <w:tr w:rsidR="00B52DE3">
        <w:tc>
          <w:tcPr>
            <w:tcW w:w="470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b/>
                <w:sz w:val="27"/>
                <w:szCs w:val="27"/>
                <w:lang w:eastAsia="ru-RU"/>
              </w:rPr>
              <w:t>Всего:</w:t>
            </w:r>
          </w:p>
        </w:tc>
        <w:tc>
          <w:tcPr>
            <w:tcW w:w="56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b/>
                <w:bCs/>
                <w:sz w:val="27"/>
                <w:szCs w:val="27"/>
                <w:lang w:eastAsia="ru-RU"/>
              </w:rPr>
              <w:t>2568</w:t>
            </w:r>
          </w:p>
        </w:tc>
      </w:tr>
    </w:tbl>
    <w:p w:rsidR="00B52DE3" w:rsidRDefault="00B52DE3">
      <w:pPr>
        <w:spacing w:after="0" w:line="360" w:lineRule="auto"/>
        <w:jc w:val="both"/>
        <w:rPr>
          <w:rFonts w:ascii="Times New Roman" w:hAnsi="Times New Roman" w:cs="Times New Roman"/>
          <w:i/>
          <w:iCs/>
          <w:sz w:val="27"/>
          <w:szCs w:val="27"/>
        </w:rPr>
      </w:pPr>
      <w:bookmarkStart w:id="82" w:name="_Hlk187838381_Копия_1"/>
      <w:bookmarkEnd w:id="82"/>
    </w:p>
    <w:p w:rsidR="00B52DE3" w:rsidRDefault="00DE73E3">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Сравнительная таблица показателей фестивалей и конкурсов </w:t>
      </w:r>
    </w:p>
    <w:p w:rsidR="00B52DE3" w:rsidRDefault="00B52DE3">
      <w:pPr>
        <w:shd w:val="clear" w:color="auto" w:fill="FFFFFF"/>
        <w:spacing w:after="0" w:line="240" w:lineRule="auto"/>
        <w:jc w:val="both"/>
        <w:rPr>
          <w:rFonts w:ascii="Times New Roman" w:hAnsi="Times New Roman" w:cs="Times New Roman"/>
          <w:i/>
          <w:iCs/>
          <w:sz w:val="27"/>
          <w:szCs w:val="27"/>
        </w:rPr>
      </w:pPr>
    </w:p>
    <w:tbl>
      <w:tblPr>
        <w:tblW w:w="9357" w:type="dxa"/>
        <w:jc w:val="center"/>
        <w:tblLayout w:type="fixed"/>
        <w:tblLook w:val="04A0"/>
      </w:tblPr>
      <w:tblGrid>
        <w:gridCol w:w="1130"/>
        <w:gridCol w:w="568"/>
        <w:gridCol w:w="720"/>
        <w:gridCol w:w="422"/>
        <w:gridCol w:w="568"/>
        <w:gridCol w:w="582"/>
        <w:gridCol w:w="505"/>
        <w:gridCol w:w="424"/>
        <w:gridCol w:w="569"/>
        <w:gridCol w:w="425"/>
        <w:gridCol w:w="431"/>
        <w:gridCol w:w="569"/>
        <w:gridCol w:w="569"/>
        <w:gridCol w:w="568"/>
        <w:gridCol w:w="568"/>
        <w:gridCol w:w="739"/>
      </w:tblGrid>
      <w:tr w:rsidR="00B52DE3">
        <w:trPr>
          <w:cantSplit/>
          <w:trHeight w:val="2568"/>
          <w:jc w:val="center"/>
        </w:trPr>
        <w:tc>
          <w:tcPr>
            <w:tcW w:w="1129"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Период</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Золото</w:t>
            </w:r>
          </w:p>
        </w:tc>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Серебро</w:t>
            </w:r>
          </w:p>
        </w:tc>
        <w:tc>
          <w:tcPr>
            <w:tcW w:w="422"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Бронза</w:t>
            </w:r>
          </w:p>
        </w:tc>
        <w:tc>
          <w:tcPr>
            <w:tcW w:w="568"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Лауреат 1</w:t>
            </w:r>
          </w:p>
        </w:tc>
        <w:tc>
          <w:tcPr>
            <w:tcW w:w="582"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Лауреат 2</w:t>
            </w:r>
          </w:p>
        </w:tc>
        <w:tc>
          <w:tcPr>
            <w:tcW w:w="505"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Лауреат 3</w:t>
            </w:r>
          </w:p>
        </w:tc>
        <w:tc>
          <w:tcPr>
            <w:tcW w:w="424"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Дипломант 1</w:t>
            </w:r>
          </w:p>
        </w:tc>
        <w:tc>
          <w:tcPr>
            <w:tcW w:w="569"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Дипломант 2</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Дипломант 3</w:t>
            </w:r>
          </w:p>
        </w:tc>
        <w:tc>
          <w:tcPr>
            <w:tcW w:w="431"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Дипломант</w:t>
            </w:r>
          </w:p>
        </w:tc>
        <w:tc>
          <w:tcPr>
            <w:tcW w:w="569"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Диплом за 1 место</w:t>
            </w:r>
          </w:p>
        </w:tc>
        <w:tc>
          <w:tcPr>
            <w:tcW w:w="569"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Диплом за 2 место</w:t>
            </w:r>
          </w:p>
        </w:tc>
        <w:tc>
          <w:tcPr>
            <w:tcW w:w="568"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Диплом за 3 место</w:t>
            </w:r>
          </w:p>
        </w:tc>
        <w:tc>
          <w:tcPr>
            <w:tcW w:w="568"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Диплом за 4 место</w:t>
            </w:r>
          </w:p>
        </w:tc>
        <w:tc>
          <w:tcPr>
            <w:tcW w:w="739" w:type="dxa"/>
            <w:tcBorders>
              <w:top w:val="single" w:sz="4" w:space="0" w:color="000000"/>
              <w:left w:val="single" w:sz="4" w:space="0" w:color="000000"/>
              <w:bottom w:val="single" w:sz="4" w:space="0" w:color="000000"/>
              <w:right w:val="single" w:sz="4" w:space="0" w:color="000000"/>
            </w:tcBorders>
            <w:textDirection w:val="btLr"/>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sz w:val="27"/>
                <w:szCs w:val="27"/>
                <w:lang w:eastAsia="ru-RU"/>
              </w:rPr>
              <w:t>Диплом участника</w:t>
            </w:r>
          </w:p>
        </w:tc>
      </w:tr>
      <w:tr w:rsidR="00B52DE3">
        <w:trPr>
          <w:cantSplit/>
          <w:trHeight w:val="270"/>
          <w:jc w:val="center"/>
        </w:trPr>
        <w:tc>
          <w:tcPr>
            <w:tcW w:w="1129"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b/>
                <w:sz w:val="27"/>
                <w:szCs w:val="27"/>
                <w:lang w:eastAsia="ru-RU"/>
              </w:rPr>
              <w:t>2023 г.</w:t>
            </w:r>
          </w:p>
        </w:tc>
        <w:tc>
          <w:tcPr>
            <w:tcW w:w="56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56</w:t>
            </w:r>
          </w:p>
        </w:tc>
        <w:tc>
          <w:tcPr>
            <w:tcW w:w="71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60</w:t>
            </w:r>
          </w:p>
        </w:tc>
        <w:tc>
          <w:tcPr>
            <w:tcW w:w="42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47</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124</w:t>
            </w:r>
          </w:p>
        </w:tc>
        <w:tc>
          <w:tcPr>
            <w:tcW w:w="58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113</w:t>
            </w:r>
          </w:p>
        </w:tc>
        <w:tc>
          <w:tcPr>
            <w:tcW w:w="50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109</w:t>
            </w:r>
          </w:p>
        </w:tc>
        <w:tc>
          <w:tcPr>
            <w:tcW w:w="424"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16</w:t>
            </w:r>
          </w:p>
        </w:tc>
        <w:tc>
          <w:tcPr>
            <w:tcW w:w="5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12</w:t>
            </w:r>
          </w:p>
        </w:tc>
        <w:tc>
          <w:tcPr>
            <w:tcW w:w="42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4</w:t>
            </w:r>
          </w:p>
        </w:tc>
        <w:tc>
          <w:tcPr>
            <w:tcW w:w="43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37</w:t>
            </w:r>
          </w:p>
        </w:tc>
        <w:tc>
          <w:tcPr>
            <w:tcW w:w="5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7</w:t>
            </w:r>
          </w:p>
        </w:tc>
        <w:tc>
          <w:tcPr>
            <w:tcW w:w="5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143</w:t>
            </w:r>
          </w:p>
        </w:tc>
      </w:tr>
      <w:tr w:rsidR="00B52DE3">
        <w:trPr>
          <w:cantSplit/>
          <w:trHeight w:val="270"/>
          <w:jc w:val="center"/>
        </w:trPr>
        <w:tc>
          <w:tcPr>
            <w:tcW w:w="1129"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b/>
                <w:sz w:val="27"/>
                <w:szCs w:val="27"/>
                <w:lang w:eastAsia="ru-RU"/>
              </w:rPr>
              <w:t>2024 г.</w:t>
            </w:r>
          </w:p>
        </w:tc>
        <w:tc>
          <w:tcPr>
            <w:tcW w:w="56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144</w:t>
            </w:r>
          </w:p>
        </w:tc>
        <w:tc>
          <w:tcPr>
            <w:tcW w:w="71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109</w:t>
            </w:r>
          </w:p>
        </w:tc>
        <w:tc>
          <w:tcPr>
            <w:tcW w:w="42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88</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107</w:t>
            </w:r>
          </w:p>
        </w:tc>
        <w:tc>
          <w:tcPr>
            <w:tcW w:w="58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108</w:t>
            </w:r>
          </w:p>
        </w:tc>
        <w:tc>
          <w:tcPr>
            <w:tcW w:w="50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114</w:t>
            </w:r>
          </w:p>
        </w:tc>
        <w:tc>
          <w:tcPr>
            <w:tcW w:w="424"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15</w:t>
            </w:r>
          </w:p>
        </w:tc>
        <w:tc>
          <w:tcPr>
            <w:tcW w:w="5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7</w:t>
            </w:r>
          </w:p>
        </w:tc>
        <w:tc>
          <w:tcPr>
            <w:tcW w:w="42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4</w:t>
            </w:r>
          </w:p>
        </w:tc>
        <w:tc>
          <w:tcPr>
            <w:tcW w:w="43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27</w:t>
            </w:r>
          </w:p>
        </w:tc>
        <w:tc>
          <w:tcPr>
            <w:tcW w:w="5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5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111</w:t>
            </w:r>
          </w:p>
        </w:tc>
      </w:tr>
      <w:tr w:rsidR="00B52DE3">
        <w:trPr>
          <w:cantSplit/>
          <w:trHeight w:val="270"/>
          <w:jc w:val="center"/>
        </w:trPr>
        <w:tc>
          <w:tcPr>
            <w:tcW w:w="1129"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b/>
                <w:sz w:val="27"/>
                <w:szCs w:val="27"/>
                <w:lang w:eastAsia="ru-RU"/>
              </w:rPr>
              <w:t>2025 г</w:t>
            </w:r>
          </w:p>
        </w:tc>
        <w:tc>
          <w:tcPr>
            <w:tcW w:w="567"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73</w:t>
            </w:r>
          </w:p>
        </w:tc>
        <w:tc>
          <w:tcPr>
            <w:tcW w:w="71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46</w:t>
            </w:r>
          </w:p>
        </w:tc>
        <w:tc>
          <w:tcPr>
            <w:tcW w:w="42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22</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92</w:t>
            </w:r>
          </w:p>
        </w:tc>
        <w:tc>
          <w:tcPr>
            <w:tcW w:w="58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88</w:t>
            </w:r>
          </w:p>
        </w:tc>
        <w:tc>
          <w:tcPr>
            <w:tcW w:w="50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69</w:t>
            </w:r>
          </w:p>
        </w:tc>
        <w:tc>
          <w:tcPr>
            <w:tcW w:w="424"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19</w:t>
            </w:r>
          </w:p>
        </w:tc>
        <w:tc>
          <w:tcPr>
            <w:tcW w:w="5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7</w:t>
            </w:r>
          </w:p>
        </w:tc>
        <w:tc>
          <w:tcPr>
            <w:tcW w:w="42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5</w:t>
            </w:r>
          </w:p>
        </w:tc>
        <w:tc>
          <w:tcPr>
            <w:tcW w:w="43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42</w:t>
            </w:r>
          </w:p>
        </w:tc>
        <w:tc>
          <w:tcPr>
            <w:tcW w:w="5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56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5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0</w:t>
            </w:r>
          </w:p>
        </w:tc>
        <w:tc>
          <w:tcPr>
            <w:tcW w:w="73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left="-57" w:right="-57"/>
              <w:jc w:val="center"/>
              <w:rPr>
                <w:rFonts w:ascii="Times New Roman" w:hAnsi="Times New Roman" w:cs="Times New Roman"/>
              </w:rPr>
            </w:pPr>
            <w:r>
              <w:rPr>
                <w:rFonts w:ascii="Times New Roman" w:eastAsia="Times New Roman" w:hAnsi="Times New Roman" w:cs="Times New Roman"/>
                <w:color w:val="000000" w:themeColor="dark1"/>
                <w:sz w:val="27"/>
                <w:szCs w:val="27"/>
                <w:lang w:eastAsia="ru-RU"/>
              </w:rPr>
              <w:t>92</w:t>
            </w:r>
          </w:p>
        </w:tc>
      </w:tr>
    </w:tbl>
    <w:p w:rsidR="00B52DE3" w:rsidRDefault="00B52DE3">
      <w:pPr>
        <w:shd w:val="clear" w:color="auto" w:fill="FFFFFF"/>
        <w:spacing w:after="0" w:line="360" w:lineRule="auto"/>
        <w:ind w:firstLine="708"/>
        <w:jc w:val="both"/>
        <w:rPr>
          <w:rFonts w:ascii="Times New Roman" w:hAnsi="Times New Roman" w:cs="Times New Roman"/>
          <w:color w:val="000000" w:themeColor="dark1"/>
          <w:sz w:val="27"/>
          <w:szCs w:val="27"/>
        </w:rPr>
      </w:pP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Наиболее вероятным и прямо указанным объяснением снижения общего числа наград является уменьшение количества фестивалей и конкурсов в 2025 году, в которых клубные формирования смогли принять </w:t>
      </w:r>
      <w:r>
        <w:rPr>
          <w:rFonts w:ascii="Times New Roman" w:eastAsia="Times New Roman" w:hAnsi="Times New Roman" w:cs="Times New Roman"/>
          <w:sz w:val="28"/>
          <w:szCs w:val="28"/>
          <w:lang w:eastAsia="ru-RU"/>
        </w:rPr>
        <w:lastRenderedPageBreak/>
        <w:t>участие</w:t>
      </w:r>
      <w:r>
        <w:rPr>
          <w:rFonts w:ascii="Times New Roman" w:eastAsia="Times New Roman" w:hAnsi="Times New Roman" w:cs="Times New Roman"/>
          <w:b/>
          <w:bCs/>
          <w:sz w:val="28"/>
          <w:szCs w:val="28"/>
          <w:lang w:eastAsia="ru-RU"/>
        </w:rPr>
        <w:t>.</w:t>
      </w:r>
      <w:r>
        <w:rPr>
          <w:rFonts w:ascii="Times New Roman" w:eastAsia="Times New Roman" w:hAnsi="Times New Roman" w:cs="Times New Roman"/>
          <w:sz w:val="28"/>
          <w:szCs w:val="28"/>
          <w:lang w:eastAsia="ru-RU"/>
        </w:rPr>
        <w:t xml:space="preserve"> Но все же наблюдается сравнительно </w:t>
      </w:r>
      <w:r>
        <w:rPr>
          <w:rFonts w:ascii="Times New Roman" w:eastAsia="Times New Roman" w:hAnsi="Times New Roman" w:cs="Times New Roman"/>
          <w:color w:val="000000" w:themeColor="dark1"/>
          <w:sz w:val="28"/>
          <w:szCs w:val="28"/>
          <w:lang w:eastAsia="ru-RU"/>
        </w:rPr>
        <w:t>положительная динамика, что свидетельствует о стабильной работе руководителей клубных формирований, а также о слаженной работе клубных формирований.</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Специалисты МАУК «МЦКД «Горизонт» создают оптимальные условия для активного проведения досуга населения, используя целый комплекс культурных мероприятий в работе со всеми категориями населения.</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В 2025 году в рамках государственного (муниципального) заказа (задания) было проведено всего – 1184 мероприятие, охват населения составил – 678469 человек. Таким образом государственный (муниципальный) заказ (задание) выполнен на 107,4 %. На платной основе было проведено 264 мероприятий, охват которых составил – 111804 человек.</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 xml:space="preserve">В 2025 году в МАУК «МЦКД «Горизонт» было запланировано                     120 </w:t>
      </w:r>
      <w:proofErr w:type="spellStart"/>
      <w:r>
        <w:rPr>
          <w:rFonts w:ascii="Times New Roman" w:eastAsia="Times New Roman" w:hAnsi="Times New Roman" w:cs="Times New Roman"/>
          <w:bCs/>
          <w:color w:val="000000" w:themeColor="dark1"/>
          <w:sz w:val="28"/>
          <w:szCs w:val="28"/>
          <w:lang w:eastAsia="ru-RU"/>
        </w:rPr>
        <w:t>антинаркотических</w:t>
      </w:r>
      <w:proofErr w:type="spellEnd"/>
      <w:r>
        <w:rPr>
          <w:rFonts w:ascii="Times New Roman" w:eastAsia="Times New Roman" w:hAnsi="Times New Roman" w:cs="Times New Roman"/>
          <w:bCs/>
          <w:color w:val="000000" w:themeColor="dark1"/>
          <w:sz w:val="28"/>
          <w:szCs w:val="28"/>
          <w:lang w:eastAsia="ru-RU"/>
        </w:rPr>
        <w:t xml:space="preserve"> мероприятий и мероприятий по пропаганде здорового образа жизни</w:t>
      </w:r>
      <w:r>
        <w:rPr>
          <w:rFonts w:ascii="Times New Roman" w:eastAsia="Times New Roman" w:hAnsi="Times New Roman" w:cs="Times New Roman"/>
          <w:color w:val="000000" w:themeColor="dark1"/>
          <w:sz w:val="28"/>
          <w:szCs w:val="28"/>
          <w:lang w:eastAsia="ru-RU"/>
        </w:rPr>
        <w:t>, из них проведено 127 мероприятий, что составило 105,8 % выполнение.</w:t>
      </w:r>
    </w:p>
    <w:p w:rsidR="00B52DE3" w:rsidRDefault="00DE73E3">
      <w:pPr>
        <w:spacing w:after="0" w:line="360" w:lineRule="auto"/>
        <w:ind w:firstLine="708"/>
        <w:jc w:val="both"/>
        <w:rPr>
          <w:rFonts w:ascii="Times New Roman" w:eastAsia="Times New Roman" w:hAnsi="Times New Roman" w:cs="Times New Roman"/>
          <w:color w:val="000000" w:themeColor="dark1"/>
          <w:sz w:val="28"/>
          <w:szCs w:val="28"/>
          <w:lang w:eastAsia="ru-RU"/>
        </w:rPr>
      </w:pPr>
      <w:r>
        <w:rPr>
          <w:rFonts w:ascii="Times New Roman" w:eastAsia="Times New Roman" w:hAnsi="Times New Roman" w:cs="Times New Roman"/>
          <w:color w:val="000000" w:themeColor="dark1"/>
          <w:sz w:val="28"/>
          <w:szCs w:val="28"/>
          <w:lang w:eastAsia="ru-RU"/>
        </w:rPr>
        <w:t>Охват населения составил 38800 человек, из них 34516 дети, подростки в возрасте до 14 лет, что составляет 88,96 % от общего показателя.</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В МБУК ЦКС УГО ПК работу клубных формирований осуществляют музыкальные, театральные, танцевальные кружки, любительские объединения в направлении декоративно-прикладное творчество. Всего количество клубных формирований составляет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200, с охватом участников 3557 человек.</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Анализ изменения количества клубных формирований представлен на рисунке 1, если сравнивать показатели в количественном соотношении, то видно, что клубные формирования для всех трех категорий граждан в</w:t>
      </w:r>
      <w:r w:rsidR="00CD1F55" w:rsidRPr="00CD1F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основном стабильны. Незначительные изменения все же есть: это уменьшение количества клубных формирований для возрастной категории до </w:t>
      </w:r>
      <w:r>
        <w:rPr>
          <w:rFonts w:ascii="Times New Roman" w:eastAsia="Times New Roman" w:hAnsi="Times New Roman" w:cs="Times New Roman"/>
          <w:sz w:val="28"/>
          <w:szCs w:val="28"/>
          <w:lang w:eastAsia="ru-RU"/>
        </w:rPr>
        <w:lastRenderedPageBreak/>
        <w:t>14 лет на 1 единицу в 2025 году по сравнению с 2024 годом, увеличение количества клубных формирований взрослых в 2025 году на 1 единицу,</w:t>
      </w:r>
    </w:p>
    <w:p w:rsidR="00B52DE3" w:rsidRDefault="00DE73E3">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количество клубных формирований для возрастной категории 15-35 сравнении с 2024 годом стабильно.</w:t>
      </w:r>
    </w:p>
    <w:p w:rsidR="00B52DE3" w:rsidRDefault="00DE73E3">
      <w:pPr>
        <w:spacing w:after="0"/>
        <w:jc w:val="center"/>
        <w:rPr>
          <w:rFonts w:ascii="Times New Roman" w:hAnsi="Times New Roman" w:cs="Times New Roman"/>
        </w:rPr>
      </w:pPr>
      <w:r>
        <w:rPr>
          <w:rFonts w:ascii="Times New Roman" w:eastAsia="Times New Roman" w:hAnsi="Times New Roman" w:cs="Times New Roman"/>
          <w:noProof/>
          <w:sz w:val="27"/>
          <w:szCs w:val="27"/>
          <w:lang w:eastAsia="ru-RU"/>
        </w:rPr>
        <w:drawing>
          <wp:anchor distT="0" distB="0" distL="0" distR="0" simplePos="0" relativeHeight="251648512" behindDoc="0" locked="0" layoutInCell="1" allowOverlap="1">
            <wp:simplePos x="0" y="0"/>
            <wp:positionH relativeFrom="page">
              <wp:posOffset>1461135</wp:posOffset>
            </wp:positionH>
            <wp:positionV relativeFrom="paragraph">
              <wp:posOffset>-514985</wp:posOffset>
            </wp:positionV>
            <wp:extent cx="5210175" cy="2962275"/>
            <wp:effectExtent l="0" t="0" r="0" b="0"/>
            <wp:wrapSquare wrapText="bothSides"/>
            <wp:docPr id="11" name="Диаграмма 3" descr="диаграмма"/>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Times New Roman" w:eastAsia="Times New Roman" w:hAnsi="Times New Roman" w:cs="Times New Roman"/>
          <w:sz w:val="27"/>
          <w:szCs w:val="27"/>
          <w:lang w:eastAsia="ru-RU"/>
        </w:rPr>
        <w:t>Рисунок 1</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Далее, на рисунке 2 представлен анализ количества участников клубных формирований, где наблюдается увеличение количества участников клубных формирований для возрастных категорий до 14 лет и 15-35 лет.</w:t>
      </w:r>
    </w:p>
    <w:p w:rsidR="00B52DE3" w:rsidRDefault="00DE73E3">
      <w:pPr>
        <w:spacing w:after="0" w:line="240" w:lineRule="auto"/>
        <w:ind w:firstLine="709"/>
        <w:rPr>
          <w:rFonts w:ascii="Times New Roman" w:hAnsi="Times New Roman" w:cs="Times New Roman"/>
        </w:rPr>
      </w:pPr>
      <w:r>
        <w:rPr>
          <w:rFonts w:ascii="Times New Roman" w:eastAsia="Times New Roman" w:hAnsi="Times New Roman" w:cs="Times New Roman"/>
          <w:sz w:val="27"/>
          <w:szCs w:val="27"/>
          <w:lang w:eastAsia="ru-RU"/>
        </w:rPr>
        <w:t xml:space="preserve">  </w:t>
      </w:r>
    </w:p>
    <w:p w:rsidR="00B52DE3" w:rsidRDefault="00DE73E3">
      <w:pPr>
        <w:spacing w:after="0"/>
        <w:rPr>
          <w:rFonts w:ascii="Times New Roman" w:hAnsi="Times New Roman" w:cs="Times New Roman"/>
          <w:color w:val="FF0000"/>
          <w:sz w:val="27"/>
          <w:szCs w:val="27"/>
        </w:rPr>
      </w:pPr>
      <w:r>
        <w:rPr>
          <w:rFonts w:ascii="Times New Roman" w:hAnsi="Times New Roman" w:cs="Times New Roman"/>
          <w:noProof/>
          <w:color w:val="FF0000"/>
          <w:sz w:val="27"/>
          <w:szCs w:val="27"/>
          <w:lang w:eastAsia="ru-RU"/>
        </w:rPr>
        <w:drawing>
          <wp:anchor distT="0" distB="0" distL="0" distR="0" simplePos="0" relativeHeight="251649536" behindDoc="0" locked="0" layoutInCell="1" allowOverlap="1">
            <wp:simplePos x="0" y="0"/>
            <wp:positionH relativeFrom="margin">
              <wp:posOffset>285750</wp:posOffset>
            </wp:positionH>
            <wp:positionV relativeFrom="paragraph">
              <wp:posOffset>6985</wp:posOffset>
            </wp:positionV>
            <wp:extent cx="5400675" cy="3028950"/>
            <wp:effectExtent l="0" t="0" r="0" b="0"/>
            <wp:wrapSquare wrapText="bothSides"/>
            <wp:docPr id="12" name="Диаграмма 2" descr="диаграмма"/>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B52DE3" w:rsidRDefault="00B52DE3">
      <w:pPr>
        <w:rPr>
          <w:rFonts w:ascii="Times New Roman" w:hAnsi="Times New Roman" w:cs="Times New Roman"/>
          <w:sz w:val="27"/>
          <w:szCs w:val="27"/>
        </w:rPr>
      </w:pPr>
    </w:p>
    <w:p w:rsidR="00B52DE3" w:rsidRDefault="00B52DE3">
      <w:pPr>
        <w:rPr>
          <w:rFonts w:ascii="Times New Roman" w:hAnsi="Times New Roman" w:cs="Times New Roman"/>
          <w:sz w:val="27"/>
          <w:szCs w:val="27"/>
        </w:rPr>
      </w:pPr>
    </w:p>
    <w:p w:rsidR="00B52DE3" w:rsidRDefault="00B52DE3">
      <w:pPr>
        <w:rPr>
          <w:rFonts w:ascii="Times New Roman" w:hAnsi="Times New Roman" w:cs="Times New Roman"/>
          <w:sz w:val="27"/>
          <w:szCs w:val="27"/>
        </w:rPr>
      </w:pPr>
    </w:p>
    <w:p w:rsidR="00B52DE3" w:rsidRDefault="00B52DE3">
      <w:pPr>
        <w:rPr>
          <w:rFonts w:ascii="Times New Roman" w:hAnsi="Times New Roman" w:cs="Times New Roman"/>
          <w:sz w:val="27"/>
          <w:szCs w:val="27"/>
        </w:rPr>
      </w:pPr>
    </w:p>
    <w:p w:rsidR="00B52DE3" w:rsidRDefault="00B52DE3">
      <w:pPr>
        <w:rPr>
          <w:rFonts w:ascii="Times New Roman" w:hAnsi="Times New Roman" w:cs="Times New Roman"/>
          <w:sz w:val="27"/>
          <w:szCs w:val="27"/>
        </w:rPr>
      </w:pPr>
    </w:p>
    <w:p w:rsidR="00B52DE3" w:rsidRDefault="00B52DE3">
      <w:pPr>
        <w:rPr>
          <w:rFonts w:ascii="Times New Roman" w:hAnsi="Times New Roman" w:cs="Times New Roman"/>
          <w:sz w:val="27"/>
          <w:szCs w:val="27"/>
        </w:rPr>
      </w:pPr>
    </w:p>
    <w:p w:rsidR="00B52DE3" w:rsidRDefault="00B52DE3">
      <w:pPr>
        <w:rPr>
          <w:rFonts w:ascii="Times New Roman" w:hAnsi="Times New Roman" w:cs="Times New Roman"/>
          <w:sz w:val="27"/>
          <w:szCs w:val="27"/>
        </w:rPr>
      </w:pPr>
    </w:p>
    <w:p w:rsidR="00B52DE3" w:rsidRDefault="00B52DE3">
      <w:pPr>
        <w:rPr>
          <w:rFonts w:ascii="Times New Roman" w:hAnsi="Times New Roman" w:cs="Times New Roman"/>
          <w:sz w:val="27"/>
          <w:szCs w:val="27"/>
        </w:rPr>
      </w:pPr>
    </w:p>
    <w:p w:rsidR="00B52DE3" w:rsidRDefault="00B52DE3">
      <w:pPr>
        <w:rPr>
          <w:rFonts w:ascii="Times New Roman" w:hAnsi="Times New Roman" w:cs="Times New Roman"/>
          <w:sz w:val="27"/>
          <w:szCs w:val="27"/>
        </w:rPr>
      </w:pPr>
    </w:p>
    <w:p w:rsidR="00B52DE3" w:rsidRDefault="00DE73E3">
      <w:pPr>
        <w:jc w:val="center"/>
        <w:rPr>
          <w:rFonts w:ascii="Times New Roman" w:hAnsi="Times New Roman" w:cs="Times New Roman"/>
        </w:rPr>
      </w:pPr>
      <w:r>
        <w:rPr>
          <w:rFonts w:ascii="Times New Roman" w:eastAsia="Times New Roman" w:hAnsi="Times New Roman" w:cs="Times New Roman"/>
          <w:sz w:val="27"/>
          <w:szCs w:val="27"/>
          <w:lang w:eastAsia="ru-RU"/>
        </w:rPr>
        <w:lastRenderedPageBreak/>
        <w:t>Рисунок 2</w:t>
      </w:r>
    </w:p>
    <w:p w:rsidR="00B52DE3" w:rsidRDefault="00DE73E3">
      <w:pPr>
        <w:tabs>
          <w:tab w:val="left" w:pos="1395"/>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Можно выделить наиболее многочисленные клубные формирования: хореографические, вокальные, театральные, декоративно-прикладные.</w:t>
      </w:r>
    </w:p>
    <w:p w:rsidR="00B52DE3" w:rsidRDefault="00DE73E3">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2025 году на основании приказа Министерства культуры и архивного дела Приморского края от 26 декабря 2024 года № 36пр-298 о присвоении (подтверждении) званий «Народный коллектив», «Образцовый коллектив» «Заслуженный коллектив Приморского края, подтвердили свое звание следующие творческие коллективы МБУК ЦКС УГО ПК:</w:t>
      </w:r>
    </w:p>
    <w:p w:rsidR="00B52DE3" w:rsidRDefault="00DE73E3">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Народный хор «Родные напевы» ДК с. </w:t>
      </w:r>
      <w:proofErr w:type="spellStart"/>
      <w:r>
        <w:rPr>
          <w:rFonts w:ascii="Times New Roman" w:eastAsia="Times New Roman" w:hAnsi="Times New Roman" w:cs="Times New Roman"/>
          <w:sz w:val="28"/>
          <w:szCs w:val="28"/>
        </w:rPr>
        <w:t>Новоникольск</w:t>
      </w:r>
      <w:proofErr w:type="spellEnd"/>
      <w:r>
        <w:rPr>
          <w:rFonts w:ascii="Times New Roman" w:eastAsia="Times New Roman" w:hAnsi="Times New Roman" w:cs="Times New Roman"/>
          <w:sz w:val="28"/>
          <w:szCs w:val="28"/>
        </w:rPr>
        <w:t xml:space="preserve">, руководитель </w:t>
      </w:r>
      <w:proofErr w:type="spellStart"/>
      <w:r>
        <w:rPr>
          <w:rFonts w:ascii="Times New Roman" w:eastAsia="Times New Roman" w:hAnsi="Times New Roman" w:cs="Times New Roman"/>
          <w:sz w:val="28"/>
          <w:szCs w:val="28"/>
        </w:rPr>
        <w:t>Ахметшина</w:t>
      </w:r>
      <w:proofErr w:type="spellEnd"/>
      <w:r>
        <w:rPr>
          <w:rFonts w:ascii="Times New Roman" w:eastAsia="Times New Roman" w:hAnsi="Times New Roman" w:cs="Times New Roman"/>
          <w:sz w:val="28"/>
          <w:szCs w:val="28"/>
        </w:rPr>
        <w:t xml:space="preserve"> Людмила Леонидовна;</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 xml:space="preserve">Образцовый хореографический ансамбль «Радуга» ДК «Нива»                       п. Тимирязевский, руководитель </w:t>
      </w:r>
      <w:proofErr w:type="spellStart"/>
      <w:r>
        <w:rPr>
          <w:rFonts w:ascii="Times New Roman" w:eastAsia="Times New Roman" w:hAnsi="Times New Roman" w:cs="Times New Roman"/>
          <w:sz w:val="28"/>
          <w:szCs w:val="28"/>
        </w:rPr>
        <w:t>Гриценко</w:t>
      </w:r>
      <w:proofErr w:type="spellEnd"/>
      <w:r>
        <w:rPr>
          <w:rFonts w:ascii="Times New Roman" w:eastAsia="Times New Roman" w:hAnsi="Times New Roman" w:cs="Times New Roman"/>
          <w:sz w:val="28"/>
          <w:szCs w:val="28"/>
        </w:rPr>
        <w:t xml:space="preserve"> Ольга Владимировна;</w:t>
      </w:r>
    </w:p>
    <w:p w:rsidR="00B52DE3" w:rsidRDefault="00DE73E3">
      <w:pPr>
        <w:tabs>
          <w:tab w:val="left" w:pos="978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2025 году творческие коллективы и отдельные исполнители МБУК ЦКС УГО ПК регулярно принимали участие в конкурсах и фестивалях, проходящих на территории Приморского края и за его пределами. Количество призовых мест – 1157, что говорит об эффективности и высоком качестве работы клубных формирований в ОСП учреждения. Всего участников конкурсов, фестивалей начиная с 2022 года по настоящее время: 5346 человек, 6290 человек, 4721 человек, 4320 человек.</w:t>
      </w:r>
    </w:p>
    <w:p w:rsidR="00B52DE3" w:rsidRDefault="00DE73E3">
      <w:pPr>
        <w:tabs>
          <w:tab w:val="left" w:pos="978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1157 – общее количество наград за 2025 год, из них: 11 – Гран-при,                  689 – лауреат, 164 – дипломант, 280 дипломов за участие, 13 специальных призов.</w:t>
      </w:r>
    </w:p>
    <w:p w:rsidR="00B52DE3" w:rsidRDefault="00DE73E3">
      <w:pPr>
        <w:tabs>
          <w:tab w:val="left" w:pos="978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Общее количество участников составляет 4721.</w:t>
      </w:r>
    </w:p>
    <w:p w:rsidR="00B52DE3" w:rsidRDefault="00B52DE3">
      <w:pPr>
        <w:spacing w:after="0" w:line="312" w:lineRule="auto"/>
        <w:jc w:val="both"/>
        <w:rPr>
          <w:rFonts w:ascii="Times New Roman" w:hAnsi="Times New Roman" w:cs="Times New Roman"/>
          <w:sz w:val="27"/>
          <w:szCs w:val="27"/>
        </w:rPr>
      </w:pPr>
    </w:p>
    <w:p w:rsidR="00B52DE3" w:rsidRDefault="00DE73E3">
      <w:pPr>
        <w:pStyle w:val="2f6"/>
        <w:keepNext w:val="0"/>
        <w:spacing w:before="0" w:line="240" w:lineRule="auto"/>
        <w:ind w:left="0"/>
      </w:pPr>
      <w:bookmarkStart w:id="83" w:name="_Toc79"/>
      <w:r>
        <w:t>Организация предоставления дополнительного образования детей в муниципальных учреждениях культуры и искусства Уссурийского городского округа</w:t>
      </w:r>
      <w:bookmarkEnd w:id="83"/>
    </w:p>
    <w:p w:rsidR="00B52DE3" w:rsidRDefault="00B52DE3">
      <w:pPr>
        <w:widowControl w:val="0"/>
        <w:spacing w:after="0" w:line="360" w:lineRule="auto"/>
        <w:jc w:val="center"/>
        <w:rPr>
          <w:rFonts w:ascii="Times New Roman" w:hAnsi="Times New Roman" w:cs="Times New Roman"/>
          <w:b/>
          <w:sz w:val="28"/>
          <w:szCs w:val="28"/>
        </w:rPr>
      </w:pPr>
    </w:p>
    <w:p w:rsidR="00B52DE3" w:rsidRDefault="00DE73E3">
      <w:pPr>
        <w:pStyle w:val="docdata1"/>
        <w:spacing w:before="0" w:after="0" w:line="312" w:lineRule="auto"/>
        <w:ind w:firstLine="567"/>
        <w:jc w:val="both"/>
      </w:pPr>
      <w:r>
        <w:rPr>
          <w:color w:val="000000"/>
          <w:sz w:val="28"/>
          <w:szCs w:val="28"/>
        </w:rPr>
        <w:t xml:space="preserve">На территории Уссурийского городского округа Приморского края услуги по дополнительному образованию детям предоставляет </w:t>
      </w:r>
      <w:r>
        <w:rPr>
          <w:color w:val="000000"/>
          <w:sz w:val="28"/>
          <w:szCs w:val="28"/>
        </w:rPr>
        <w:lastRenderedPageBreak/>
        <w:t xml:space="preserve">муниципальное бюджетное учреждение дополнительного образования «Детская школа искусств» Уссурийского городского округа Приморского края (далее – МБУДО «ДШИ» УГО ПК). Его основная задача - целенаправленное обучение детей и подростков различным видам искусства. </w:t>
      </w:r>
    </w:p>
    <w:p w:rsidR="00B52DE3" w:rsidRDefault="00DE73E3">
      <w:pPr>
        <w:pStyle w:val="afff0"/>
        <w:spacing w:before="0" w:after="0" w:line="360" w:lineRule="auto"/>
        <w:ind w:firstLine="567"/>
        <w:jc w:val="both"/>
        <w:rPr>
          <w:rFonts w:eastAsia="Times New Roman"/>
          <w:color w:val="000000"/>
          <w:sz w:val="28"/>
          <w:szCs w:val="28"/>
        </w:rPr>
      </w:pPr>
      <w:r>
        <w:rPr>
          <w:rFonts w:eastAsia="Times New Roman"/>
          <w:color w:val="000000"/>
          <w:sz w:val="28"/>
          <w:szCs w:val="28"/>
        </w:rPr>
        <w:t xml:space="preserve">Дети обучаются на 11 отделениях: </w:t>
      </w:r>
    </w:p>
    <w:p w:rsidR="00B52DE3" w:rsidRDefault="00B52DE3">
      <w:pPr>
        <w:pStyle w:val="afff0"/>
        <w:spacing w:before="0" w:after="0" w:line="360" w:lineRule="auto"/>
        <w:ind w:firstLine="567"/>
        <w:jc w:val="both"/>
      </w:pPr>
    </w:p>
    <w:tbl>
      <w:tblPr>
        <w:tblW w:w="9238" w:type="dxa"/>
        <w:tblInd w:w="109" w:type="dxa"/>
        <w:tblLayout w:type="fixed"/>
        <w:tblLook w:val="04A0"/>
      </w:tblPr>
      <w:tblGrid>
        <w:gridCol w:w="4315"/>
        <w:gridCol w:w="4923"/>
      </w:tblGrid>
      <w:tr w:rsidR="00B52DE3">
        <w:trPr>
          <w:trHeight w:val="420"/>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Отделения</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center"/>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Специальности</w:t>
            </w:r>
          </w:p>
        </w:tc>
      </w:tr>
      <w:tr w:rsidR="00B52DE3">
        <w:trPr>
          <w:trHeight w:val="417"/>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Народные инструменты</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Баян, аккордеон, домра, балалайка, гитара</w:t>
            </w:r>
          </w:p>
        </w:tc>
      </w:tr>
      <w:tr w:rsidR="00B52DE3">
        <w:trPr>
          <w:trHeight w:val="345"/>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Фортепиано</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Фортепиано, синтезатор</w:t>
            </w:r>
          </w:p>
        </w:tc>
      </w:tr>
      <w:tr w:rsidR="00B52DE3">
        <w:trPr>
          <w:trHeight w:val="285"/>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Хореографическое</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Хореографическое искусство</w:t>
            </w:r>
          </w:p>
        </w:tc>
      </w:tr>
      <w:tr w:rsidR="00B52DE3">
        <w:trPr>
          <w:trHeight w:val="285"/>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Духовые и ударные инструменты</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Флейта, саксофон, кларнет, гобой</w:t>
            </w:r>
          </w:p>
        </w:tc>
      </w:tr>
      <w:tr w:rsidR="00B52DE3">
        <w:trPr>
          <w:trHeight w:val="285"/>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Изобразительное</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Живопись</w:t>
            </w:r>
          </w:p>
        </w:tc>
      </w:tr>
      <w:tr w:rsidR="00B52DE3">
        <w:trPr>
          <w:trHeight w:val="285"/>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proofErr w:type="spellStart"/>
            <w:r>
              <w:rPr>
                <w:rFonts w:ascii="Times New Roman" w:eastAsia="Times New Roman" w:hAnsi="Times New Roman" w:cs="Times New Roman"/>
                <w:bCs/>
                <w:color w:val="000000" w:themeColor="dark1"/>
                <w:sz w:val="28"/>
                <w:szCs w:val="28"/>
                <w:lang w:eastAsia="ru-RU"/>
              </w:rPr>
              <w:t>Струнно</w:t>
            </w:r>
            <w:proofErr w:type="spellEnd"/>
            <w:r>
              <w:rPr>
                <w:rFonts w:ascii="Times New Roman" w:eastAsia="Times New Roman" w:hAnsi="Times New Roman" w:cs="Times New Roman"/>
                <w:bCs/>
                <w:color w:val="000000" w:themeColor="dark1"/>
                <w:sz w:val="28"/>
                <w:szCs w:val="28"/>
                <w:lang w:eastAsia="ru-RU"/>
              </w:rPr>
              <w:t xml:space="preserve"> – смычковое</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Скрипка</w:t>
            </w:r>
          </w:p>
        </w:tc>
      </w:tr>
      <w:tr w:rsidR="00B52DE3">
        <w:trPr>
          <w:trHeight w:val="285"/>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Вокальное</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Сольное пение</w:t>
            </w:r>
          </w:p>
        </w:tc>
      </w:tr>
      <w:tr w:rsidR="00B52DE3">
        <w:trPr>
          <w:trHeight w:val="285"/>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Декоративно – прикладное</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Декоративно – прикладное искусство</w:t>
            </w:r>
          </w:p>
        </w:tc>
      </w:tr>
      <w:tr w:rsidR="00B52DE3">
        <w:trPr>
          <w:trHeight w:val="285"/>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Фото</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Фотоискусство</w:t>
            </w:r>
          </w:p>
        </w:tc>
      </w:tr>
      <w:tr w:rsidR="00B52DE3">
        <w:trPr>
          <w:trHeight w:val="285"/>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Музыкальный фольклор</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Фольклорное искусство</w:t>
            </w:r>
          </w:p>
        </w:tc>
      </w:tr>
      <w:tr w:rsidR="00B52DE3">
        <w:trPr>
          <w:trHeight w:val="285"/>
        </w:trPr>
        <w:tc>
          <w:tcPr>
            <w:tcW w:w="4315"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Раннее – эстетическое развитие</w:t>
            </w:r>
          </w:p>
        </w:tc>
        <w:tc>
          <w:tcPr>
            <w:tcW w:w="4922" w:type="dxa"/>
            <w:tcBorders>
              <w:top w:val="single" w:sz="4" w:space="0" w:color="000000"/>
              <w:left w:val="single" w:sz="4" w:space="0" w:color="000000"/>
              <w:bottom w:val="single" w:sz="4" w:space="0" w:color="000000"/>
              <w:right w:val="single" w:sz="4" w:space="0" w:color="000000"/>
            </w:tcBorders>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bCs/>
                <w:color w:val="000000" w:themeColor="dark1"/>
                <w:sz w:val="28"/>
                <w:szCs w:val="28"/>
                <w:lang w:eastAsia="ru-RU"/>
              </w:rPr>
              <w:t>Эстетическое отделение, Основы дизайна и макетирования</w:t>
            </w:r>
          </w:p>
        </w:tc>
      </w:tr>
    </w:tbl>
    <w:p w:rsidR="00B52DE3" w:rsidRDefault="00B52DE3">
      <w:pPr>
        <w:pStyle w:val="docdata1"/>
        <w:spacing w:before="0" w:after="0" w:line="312" w:lineRule="auto"/>
        <w:jc w:val="both"/>
        <w:rPr>
          <w:color w:val="000000"/>
          <w:sz w:val="28"/>
          <w:szCs w:val="28"/>
        </w:rPr>
      </w:pPr>
    </w:p>
    <w:p w:rsidR="00B52DE3" w:rsidRDefault="00DE73E3">
      <w:pPr>
        <w:pStyle w:val="docdata1"/>
        <w:spacing w:before="0" w:after="0" w:line="312" w:lineRule="auto"/>
        <w:ind w:firstLine="709"/>
        <w:jc w:val="both"/>
      </w:pPr>
      <w:r>
        <w:rPr>
          <w:color w:val="000000"/>
          <w:sz w:val="28"/>
          <w:szCs w:val="28"/>
        </w:rPr>
        <w:t>В 2025 году в МБУДО «ДШИ» УГО ПК обучалось</w:t>
      </w:r>
      <w:r>
        <w:rPr>
          <w:color w:val="FF0000"/>
          <w:sz w:val="28"/>
          <w:szCs w:val="28"/>
        </w:rPr>
        <w:t xml:space="preserve"> </w:t>
      </w:r>
      <w:r>
        <w:rPr>
          <w:color w:val="000000" w:themeColor="dark1"/>
          <w:sz w:val="28"/>
          <w:szCs w:val="28"/>
        </w:rPr>
        <w:t>858</w:t>
      </w:r>
      <w:r>
        <w:rPr>
          <w:color w:val="000000"/>
          <w:sz w:val="28"/>
          <w:szCs w:val="28"/>
        </w:rPr>
        <w:t xml:space="preserve"> детей.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В учреждении действуют два образцовых коллектива: образцовый коллектив народной песни – фольклорный ансамбль «Перезвон», руководитель Протасова Елена Александровна; образцовый хореографический ансамбль «Талисман», руководитель </w:t>
      </w:r>
      <w:proofErr w:type="spellStart"/>
      <w:r>
        <w:rPr>
          <w:rFonts w:ascii="Times New Roman" w:eastAsia="Times New Roman" w:hAnsi="Times New Roman" w:cs="Times New Roman"/>
          <w:color w:val="000000"/>
          <w:sz w:val="28"/>
          <w:szCs w:val="28"/>
        </w:rPr>
        <w:t>Файрушина</w:t>
      </w:r>
      <w:proofErr w:type="spellEnd"/>
      <w:r>
        <w:rPr>
          <w:rFonts w:ascii="Times New Roman" w:eastAsia="Times New Roman" w:hAnsi="Times New Roman" w:cs="Times New Roman"/>
          <w:color w:val="000000"/>
          <w:sz w:val="28"/>
          <w:szCs w:val="28"/>
        </w:rPr>
        <w:t xml:space="preserve"> Ирина Викторовна. </w:t>
      </w:r>
      <w:r>
        <w:rPr>
          <w:rFonts w:ascii="Times New Roman" w:eastAsia="Times New Roman" w:hAnsi="Times New Roman" w:cs="Times New Roman"/>
          <w:color w:val="000000"/>
          <w:sz w:val="28"/>
          <w:szCs w:val="28"/>
          <w:lang w:eastAsia="ru-RU"/>
        </w:rPr>
        <w:t>Стабильно работают и другие творческие коллективы детской школы искусств</w:t>
      </w:r>
      <w:r>
        <w:rPr>
          <w:rFonts w:ascii="Times New Roman" w:eastAsia="Times New Roman" w:hAnsi="Times New Roman" w:cs="Times New Roman"/>
          <w:b/>
          <w:color w:val="000000"/>
          <w:sz w:val="28"/>
          <w:szCs w:val="28"/>
          <w:lang w:eastAsia="ru-RU"/>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lastRenderedPageBreak/>
        <w:t xml:space="preserve">хореографический ансамбль «Непоседы», руководитель                     </w:t>
      </w:r>
      <w:proofErr w:type="spellStart"/>
      <w:r>
        <w:rPr>
          <w:rFonts w:ascii="Times New Roman" w:eastAsia="Times New Roman" w:hAnsi="Times New Roman" w:cs="Times New Roman"/>
          <w:color w:val="000000"/>
          <w:sz w:val="28"/>
          <w:szCs w:val="28"/>
          <w:lang w:eastAsia="ru-RU"/>
        </w:rPr>
        <w:t>Лихидченко</w:t>
      </w:r>
      <w:proofErr w:type="spellEnd"/>
      <w:r>
        <w:rPr>
          <w:rFonts w:ascii="Times New Roman" w:eastAsia="Times New Roman" w:hAnsi="Times New Roman" w:cs="Times New Roman"/>
          <w:color w:val="000000"/>
          <w:sz w:val="28"/>
          <w:szCs w:val="28"/>
          <w:lang w:eastAsia="ru-RU"/>
        </w:rPr>
        <w:t xml:space="preserve">  Т.В.;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хореографический ансамбль «</w:t>
      </w:r>
      <w:proofErr w:type="spellStart"/>
      <w:r>
        <w:rPr>
          <w:rFonts w:ascii="Times New Roman" w:eastAsia="Times New Roman" w:hAnsi="Times New Roman" w:cs="Times New Roman"/>
          <w:color w:val="000000"/>
          <w:sz w:val="28"/>
          <w:szCs w:val="28"/>
          <w:lang w:eastAsia="ru-RU"/>
        </w:rPr>
        <w:t>Антрэ</w:t>
      </w:r>
      <w:proofErr w:type="spellEnd"/>
      <w:r>
        <w:rPr>
          <w:rFonts w:ascii="Times New Roman" w:eastAsia="Times New Roman" w:hAnsi="Times New Roman" w:cs="Times New Roman"/>
          <w:color w:val="000000"/>
          <w:sz w:val="28"/>
          <w:szCs w:val="28"/>
          <w:lang w:eastAsia="ru-RU"/>
        </w:rPr>
        <w:t xml:space="preserve">», руководитель </w:t>
      </w:r>
      <w:proofErr w:type="spellStart"/>
      <w:r>
        <w:rPr>
          <w:rFonts w:ascii="Times New Roman" w:eastAsia="Times New Roman" w:hAnsi="Times New Roman" w:cs="Times New Roman"/>
          <w:color w:val="000000"/>
          <w:sz w:val="28"/>
          <w:szCs w:val="28"/>
          <w:lang w:eastAsia="ru-RU"/>
        </w:rPr>
        <w:t>Конотопова</w:t>
      </w:r>
      <w:proofErr w:type="spellEnd"/>
      <w:r>
        <w:rPr>
          <w:rFonts w:ascii="Times New Roman" w:eastAsia="Times New Roman" w:hAnsi="Times New Roman" w:cs="Times New Roman"/>
          <w:color w:val="000000"/>
          <w:sz w:val="28"/>
          <w:szCs w:val="28"/>
          <w:lang w:eastAsia="ru-RU"/>
        </w:rPr>
        <w:t xml:space="preserve"> Н.А.;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ансамбль скрипачей «Ноктюрн», руководитель Копылова Г.В.;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ансамбль скрипачей «</w:t>
      </w:r>
      <w:proofErr w:type="spellStart"/>
      <w:r>
        <w:rPr>
          <w:rFonts w:ascii="Times New Roman" w:eastAsia="Times New Roman" w:hAnsi="Times New Roman" w:cs="Times New Roman"/>
          <w:color w:val="000000"/>
          <w:sz w:val="28"/>
          <w:szCs w:val="28"/>
          <w:lang w:eastAsia="ru-RU"/>
        </w:rPr>
        <w:t>Виолино</w:t>
      </w:r>
      <w:proofErr w:type="spellEnd"/>
      <w:r>
        <w:rPr>
          <w:rFonts w:ascii="Times New Roman" w:eastAsia="Times New Roman" w:hAnsi="Times New Roman" w:cs="Times New Roman"/>
          <w:color w:val="000000"/>
          <w:sz w:val="28"/>
          <w:szCs w:val="28"/>
          <w:lang w:eastAsia="ru-RU"/>
        </w:rPr>
        <w:t>», руководитель Никитина Т.В.;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 xml:space="preserve">эстрадный хор «Лира», руководитель </w:t>
      </w:r>
      <w:proofErr w:type="spellStart"/>
      <w:r>
        <w:rPr>
          <w:rFonts w:ascii="Times New Roman" w:eastAsia="Times New Roman" w:hAnsi="Times New Roman" w:cs="Times New Roman"/>
          <w:color w:val="000000"/>
          <w:sz w:val="28"/>
          <w:szCs w:val="28"/>
          <w:lang w:eastAsia="ru-RU"/>
        </w:rPr>
        <w:t>Вильховская</w:t>
      </w:r>
      <w:proofErr w:type="spellEnd"/>
      <w:r>
        <w:rPr>
          <w:rFonts w:ascii="Times New Roman" w:eastAsia="Times New Roman" w:hAnsi="Times New Roman" w:cs="Times New Roman"/>
          <w:color w:val="000000"/>
          <w:sz w:val="28"/>
          <w:szCs w:val="28"/>
          <w:lang w:eastAsia="ru-RU"/>
        </w:rPr>
        <w:t xml:space="preserve"> Ж.А. </w:t>
      </w:r>
    </w:p>
    <w:p w:rsidR="00B52DE3" w:rsidRDefault="00B52DE3">
      <w:pPr>
        <w:spacing w:after="0" w:line="360" w:lineRule="auto"/>
        <w:ind w:firstLine="709"/>
        <w:jc w:val="both"/>
        <w:rPr>
          <w:rFonts w:ascii="Times New Roman" w:hAnsi="Times New Roman" w:cs="Times New Roman"/>
          <w:color w:val="000000"/>
          <w:sz w:val="28"/>
          <w:szCs w:val="28"/>
        </w:rPr>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lang w:eastAsia="ru-RU"/>
        </w:rPr>
        <w:t>Основные показатели участия в конкурсах и фестивалях в 2025 году</w:t>
      </w:r>
    </w:p>
    <w:tbl>
      <w:tblPr>
        <w:tblW w:w="9238" w:type="dxa"/>
        <w:tblInd w:w="113" w:type="dxa"/>
        <w:tblLayout w:type="fixed"/>
        <w:tblLook w:val="04A0"/>
      </w:tblPr>
      <w:tblGrid>
        <w:gridCol w:w="3255"/>
        <w:gridCol w:w="2661"/>
        <w:gridCol w:w="3322"/>
      </w:tblGrid>
      <w:tr w:rsidR="00B52DE3">
        <w:tc>
          <w:tcPr>
            <w:tcW w:w="325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rPr>
            </w:pPr>
            <w:r>
              <w:rPr>
                <w:rFonts w:ascii="Times New Roman" w:eastAsia="Times New Roman" w:hAnsi="Times New Roman" w:cs="Times New Roman"/>
                <w:color w:val="000000" w:themeColor="dark1"/>
                <w:sz w:val="28"/>
                <w:szCs w:val="28"/>
                <w:lang w:eastAsia="ru-RU"/>
              </w:rPr>
              <w:t>Количество конкурсов</w:t>
            </w:r>
          </w:p>
        </w:tc>
        <w:tc>
          <w:tcPr>
            <w:tcW w:w="266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rPr>
            </w:pPr>
            <w:r>
              <w:rPr>
                <w:rFonts w:ascii="Times New Roman" w:eastAsia="Times New Roman" w:hAnsi="Times New Roman" w:cs="Times New Roman"/>
                <w:color w:val="000000" w:themeColor="dark1"/>
                <w:sz w:val="28"/>
                <w:szCs w:val="28"/>
                <w:lang w:eastAsia="ru-RU"/>
              </w:rPr>
              <w:t>Количество участников</w:t>
            </w:r>
          </w:p>
        </w:tc>
        <w:tc>
          <w:tcPr>
            <w:tcW w:w="332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rPr>
            </w:pPr>
            <w:r>
              <w:rPr>
                <w:rFonts w:ascii="Times New Roman" w:eastAsia="Times New Roman" w:hAnsi="Times New Roman" w:cs="Times New Roman"/>
                <w:color w:val="000000" w:themeColor="dark1"/>
                <w:sz w:val="28"/>
                <w:szCs w:val="28"/>
                <w:lang w:eastAsia="ru-RU"/>
              </w:rPr>
              <w:t>Количество призовых мест</w:t>
            </w:r>
          </w:p>
        </w:tc>
      </w:tr>
      <w:tr w:rsidR="00B52DE3">
        <w:tc>
          <w:tcPr>
            <w:tcW w:w="325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both"/>
              <w:rPr>
                <w:rFonts w:ascii="Times New Roman" w:hAnsi="Times New Roman" w:cs="Times New Roman"/>
              </w:rPr>
            </w:pPr>
            <w:r>
              <w:rPr>
                <w:rFonts w:ascii="Times New Roman" w:eastAsia="Times New Roman" w:hAnsi="Times New Roman" w:cs="Times New Roman"/>
                <w:color w:val="000000" w:themeColor="dark1"/>
                <w:sz w:val="28"/>
                <w:szCs w:val="28"/>
              </w:rPr>
              <w:t>56</w:t>
            </w:r>
          </w:p>
        </w:tc>
        <w:tc>
          <w:tcPr>
            <w:tcW w:w="266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both"/>
              <w:rPr>
                <w:rFonts w:ascii="Times New Roman" w:hAnsi="Times New Roman" w:cs="Times New Roman"/>
              </w:rPr>
            </w:pPr>
            <w:r>
              <w:rPr>
                <w:rFonts w:ascii="Times New Roman" w:eastAsia="Times New Roman" w:hAnsi="Times New Roman" w:cs="Times New Roman"/>
                <w:color w:val="000000" w:themeColor="dark1"/>
                <w:sz w:val="28"/>
                <w:szCs w:val="28"/>
              </w:rPr>
              <w:t>524</w:t>
            </w:r>
          </w:p>
        </w:tc>
        <w:tc>
          <w:tcPr>
            <w:tcW w:w="332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both"/>
              <w:rPr>
                <w:rFonts w:ascii="Times New Roman" w:hAnsi="Times New Roman" w:cs="Times New Roman"/>
              </w:rPr>
            </w:pPr>
            <w:r>
              <w:rPr>
                <w:rFonts w:ascii="Times New Roman" w:eastAsia="Times New Roman" w:hAnsi="Times New Roman" w:cs="Times New Roman"/>
                <w:color w:val="000000" w:themeColor="dark1"/>
                <w:sz w:val="28"/>
                <w:szCs w:val="28"/>
              </w:rPr>
              <w:t>486</w:t>
            </w:r>
          </w:p>
        </w:tc>
      </w:tr>
    </w:tbl>
    <w:p w:rsidR="00B52DE3" w:rsidRDefault="00B52DE3">
      <w:pPr>
        <w:spacing w:after="0" w:line="360" w:lineRule="auto"/>
        <w:jc w:val="both"/>
        <w:rPr>
          <w:rFonts w:ascii="Times New Roman" w:hAnsi="Times New Roman" w:cs="Times New Roman"/>
          <w:color w:val="000000" w:themeColor="dark1"/>
          <w:sz w:val="28"/>
          <w:szCs w:val="28"/>
        </w:rPr>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lang w:eastAsia="ru-RU"/>
        </w:rPr>
        <w:t>Основные показатели участия в конкурсах и фестивалях в 2024 году</w:t>
      </w:r>
    </w:p>
    <w:tbl>
      <w:tblPr>
        <w:tblW w:w="9238" w:type="dxa"/>
        <w:tblInd w:w="113" w:type="dxa"/>
        <w:tblLayout w:type="fixed"/>
        <w:tblLook w:val="04A0"/>
      </w:tblPr>
      <w:tblGrid>
        <w:gridCol w:w="3255"/>
        <w:gridCol w:w="2649"/>
        <w:gridCol w:w="3334"/>
      </w:tblGrid>
      <w:tr w:rsidR="00B52DE3">
        <w:tc>
          <w:tcPr>
            <w:tcW w:w="325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rPr>
            </w:pPr>
            <w:r>
              <w:rPr>
                <w:rFonts w:ascii="Times New Roman" w:eastAsia="Times New Roman" w:hAnsi="Times New Roman" w:cs="Times New Roman"/>
                <w:color w:val="000000" w:themeColor="dark1"/>
                <w:sz w:val="28"/>
                <w:szCs w:val="28"/>
                <w:lang w:eastAsia="ru-RU"/>
              </w:rPr>
              <w:t>Количество конкурсов</w:t>
            </w:r>
          </w:p>
        </w:tc>
        <w:tc>
          <w:tcPr>
            <w:tcW w:w="264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rPr>
            </w:pPr>
            <w:r>
              <w:rPr>
                <w:rFonts w:ascii="Times New Roman" w:eastAsia="Times New Roman" w:hAnsi="Times New Roman" w:cs="Times New Roman"/>
                <w:color w:val="000000" w:themeColor="dark1"/>
                <w:sz w:val="28"/>
                <w:szCs w:val="28"/>
                <w:lang w:eastAsia="ru-RU"/>
              </w:rPr>
              <w:t>Количество участников</w:t>
            </w:r>
          </w:p>
        </w:tc>
        <w:tc>
          <w:tcPr>
            <w:tcW w:w="3334"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rPr>
            </w:pPr>
            <w:r>
              <w:rPr>
                <w:rFonts w:ascii="Times New Roman" w:eastAsia="Times New Roman" w:hAnsi="Times New Roman" w:cs="Times New Roman"/>
                <w:color w:val="000000" w:themeColor="dark1"/>
                <w:sz w:val="28"/>
                <w:szCs w:val="28"/>
                <w:lang w:eastAsia="ru-RU"/>
              </w:rPr>
              <w:t>Количество призовых мест</w:t>
            </w:r>
          </w:p>
        </w:tc>
      </w:tr>
      <w:tr w:rsidR="00B52DE3">
        <w:tc>
          <w:tcPr>
            <w:tcW w:w="325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rPr>
            </w:pPr>
            <w:r>
              <w:rPr>
                <w:rFonts w:ascii="Times New Roman" w:eastAsia="Times New Roman" w:hAnsi="Times New Roman" w:cs="Times New Roman"/>
                <w:color w:val="000000" w:themeColor="dark1"/>
                <w:sz w:val="28"/>
                <w:szCs w:val="28"/>
                <w:lang w:eastAsia="ru-RU"/>
              </w:rPr>
              <w:t>54</w:t>
            </w:r>
          </w:p>
        </w:tc>
        <w:tc>
          <w:tcPr>
            <w:tcW w:w="264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rPr>
            </w:pPr>
            <w:r>
              <w:rPr>
                <w:rFonts w:ascii="Times New Roman" w:eastAsia="Times New Roman" w:hAnsi="Times New Roman" w:cs="Times New Roman"/>
                <w:color w:val="000000" w:themeColor="dark1"/>
                <w:sz w:val="28"/>
                <w:szCs w:val="28"/>
                <w:lang w:eastAsia="ru-RU"/>
              </w:rPr>
              <w:t>512</w:t>
            </w:r>
          </w:p>
        </w:tc>
        <w:tc>
          <w:tcPr>
            <w:tcW w:w="3334"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rPr>
            </w:pPr>
            <w:r>
              <w:rPr>
                <w:rFonts w:ascii="Times New Roman" w:eastAsia="Times New Roman" w:hAnsi="Times New Roman" w:cs="Times New Roman"/>
                <w:color w:val="000000" w:themeColor="dark1"/>
                <w:sz w:val="28"/>
                <w:szCs w:val="28"/>
                <w:lang w:eastAsia="ru-RU"/>
              </w:rPr>
              <w:t>372</w:t>
            </w:r>
          </w:p>
        </w:tc>
      </w:tr>
    </w:tbl>
    <w:p w:rsidR="00B52DE3" w:rsidRDefault="00B52DE3">
      <w:pPr>
        <w:spacing w:after="0" w:line="360" w:lineRule="auto"/>
        <w:jc w:val="both"/>
        <w:rPr>
          <w:rFonts w:ascii="Times New Roman" w:hAnsi="Times New Roman" w:cs="Times New Roman"/>
          <w:color w:val="000000" w:themeColor="dark1"/>
          <w:sz w:val="28"/>
          <w:szCs w:val="28"/>
        </w:rPr>
      </w:pPr>
    </w:p>
    <w:p w:rsidR="00B52DE3" w:rsidRDefault="00DE73E3">
      <w:pPr>
        <w:spacing w:after="0" w:line="240" w:lineRule="auto"/>
        <w:ind w:firstLine="709"/>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Выпускники и учащиеся, продолжившие обучение в средних и высших учебных заведениях в 2025 году</w:t>
      </w:r>
    </w:p>
    <w:p w:rsidR="00B52DE3" w:rsidRDefault="00B52DE3">
      <w:pPr>
        <w:spacing w:after="0" w:line="360" w:lineRule="auto"/>
        <w:ind w:firstLine="709"/>
        <w:jc w:val="center"/>
        <w:rPr>
          <w:rFonts w:ascii="Times New Roman" w:eastAsia="Times New Roman" w:hAnsi="Times New Roman" w:cs="Times New Roman"/>
          <w:b/>
          <w:bCs/>
          <w:color w:val="000000"/>
          <w:sz w:val="28"/>
          <w:szCs w:val="28"/>
          <w:lang w:eastAsia="ru-RU"/>
        </w:rPr>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lang w:eastAsia="ru-RU"/>
        </w:rPr>
        <w:t>Всего поступили 8 выпускников в средние и высшие учебные заведения по направлениям: фортепиано, живопись, хореография, духовые и ударные инструменты, музыкальный фольклор.</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lang w:eastAsia="ru-RU"/>
        </w:rPr>
        <w:t xml:space="preserve">В отчетном периоде </w:t>
      </w:r>
      <w:r>
        <w:rPr>
          <w:rFonts w:ascii="Times New Roman" w:eastAsia="Times New Roman" w:hAnsi="Times New Roman" w:cs="Times New Roman"/>
          <w:color w:val="000000"/>
          <w:sz w:val="28"/>
          <w:szCs w:val="28"/>
        </w:rPr>
        <w:t xml:space="preserve">за счет внебюджетных средств (остаток внебюджетных средств на начало года – 145 033,89 рублей и поступления 2025 года) проведены расходы на сумму 2 330 996,63 рубля, в том числе: приобретение основных средств (музыкальные инструменты – 2 баяна), на оплату услуг по промывке систем отопления, поверку сопротивления, проведение текущих ремонтов при подготовке к новому учебному году, на приобретение хозяйственных, канцелярских товаров, стройматериалы для проведения текущего ремонта, расходных материалов для проведения </w:t>
      </w:r>
      <w:r>
        <w:rPr>
          <w:rFonts w:ascii="Times New Roman" w:eastAsia="Times New Roman" w:hAnsi="Times New Roman" w:cs="Times New Roman"/>
          <w:color w:val="000000"/>
          <w:sz w:val="28"/>
          <w:szCs w:val="28"/>
        </w:rPr>
        <w:lastRenderedPageBreak/>
        <w:t>занятий, картриджей, запасных частей для автобуса, бланочной продукции, на участие учащихся школы и преподавателей в международных, федеральных, региональных, краевых и городских конкурсах.</w:t>
      </w:r>
    </w:p>
    <w:p w:rsidR="00B52DE3" w:rsidRDefault="00B52DE3">
      <w:pPr>
        <w:spacing w:after="0" w:line="360" w:lineRule="auto"/>
        <w:ind w:firstLine="708"/>
        <w:jc w:val="both"/>
        <w:rPr>
          <w:rFonts w:ascii="Times New Roman" w:hAnsi="Times New Roman" w:cs="Times New Roman"/>
        </w:rPr>
      </w:pPr>
    </w:p>
    <w:p w:rsidR="00B52DE3" w:rsidRDefault="00DE73E3">
      <w:pPr>
        <w:pStyle w:val="2f6"/>
        <w:keepNext w:val="0"/>
        <w:spacing w:before="0"/>
        <w:ind w:left="0"/>
      </w:pPr>
      <w:bookmarkStart w:id="84" w:name="_Toc80"/>
      <w:r>
        <w:t>Театральная деятельность</w:t>
      </w:r>
      <w:bookmarkEnd w:id="84"/>
    </w:p>
    <w:p w:rsidR="00B52DE3" w:rsidRDefault="00B52DE3">
      <w:pPr>
        <w:widowControl w:val="0"/>
        <w:spacing w:after="0" w:line="360" w:lineRule="auto"/>
        <w:ind w:firstLine="709"/>
        <w:jc w:val="both"/>
        <w:rPr>
          <w:rFonts w:ascii="Times New Roman" w:hAnsi="Times New Roman" w:cs="Times New Roman"/>
          <w:b/>
          <w:sz w:val="28"/>
          <w:szCs w:val="28"/>
        </w:rPr>
      </w:pP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территории Уссурийского городского округа Приморского края осуществляет свою деятельность МБУК «Театр драмы им.                                    В.Ф. Комиссаржевской» (далее - театр). Основными целями деятельности театра являются удовлетворение общественных потребностей в сохранении и развитии театрального искусства, поддержка самодеятельной творческой инициативы населения, организация его досуга и отдыха.</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Численность работников театра составляет 92 человека, из них административно-управленческий персонал – 3 человека, основной персонал – 64 человек, из них 39 артиста, вспомогательный персонал – 25 человек.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Сотрудники учреждения непрерывно повышают уровень своей компетенции. Так, в отчетном периоде пять сотрудников прошли курсы повышения квалификации в рамках федерального проекта «Создание условий для реализации творческого потенциала нации» («Творческие люди») национального проекта «Культура».</w:t>
      </w:r>
    </w:p>
    <w:p w:rsidR="00B52DE3" w:rsidRDefault="00DE73E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отчетном периоде было сыграно 242 спектаклей, общее количество зрителей - 38008 человек. 87-ой театральный сезон принес сразу несколько ярких премьер. Так, состоялись показы спектаклей «Привет, Ромашка» по пьесе В. </w:t>
      </w:r>
      <w:proofErr w:type="spellStart"/>
      <w:r>
        <w:rPr>
          <w:rFonts w:ascii="Times New Roman" w:eastAsia="Times New Roman" w:hAnsi="Times New Roman" w:cs="Times New Roman"/>
          <w:sz w:val="28"/>
          <w:szCs w:val="28"/>
        </w:rPr>
        <w:t>Сальниченко</w:t>
      </w:r>
      <w:proofErr w:type="spellEnd"/>
      <w:r>
        <w:rPr>
          <w:rFonts w:ascii="Times New Roman" w:eastAsia="Times New Roman" w:hAnsi="Times New Roman" w:cs="Times New Roman"/>
          <w:sz w:val="28"/>
          <w:szCs w:val="28"/>
        </w:rPr>
        <w:t xml:space="preserve">, «Цианистый калий… с молоком или без?» по пьесе Хуана Хосе </w:t>
      </w:r>
      <w:proofErr w:type="spellStart"/>
      <w:r>
        <w:rPr>
          <w:rFonts w:ascii="Times New Roman" w:eastAsia="Times New Roman" w:hAnsi="Times New Roman" w:cs="Times New Roman"/>
          <w:sz w:val="28"/>
          <w:szCs w:val="28"/>
        </w:rPr>
        <w:t>Алонсо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Мильяна</w:t>
      </w:r>
      <w:proofErr w:type="spellEnd"/>
      <w:r>
        <w:rPr>
          <w:rFonts w:ascii="Times New Roman" w:eastAsia="Times New Roman" w:hAnsi="Times New Roman" w:cs="Times New Roman"/>
          <w:sz w:val="28"/>
          <w:szCs w:val="28"/>
        </w:rPr>
        <w:t>, «Старший сын» по пьесе А. Вампилова.</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Зрителям были представлены театральные познавательные проекты к важным историческим датам: «Секретное оружие Ленинграда» к окончательному снятию блокады Ленинграда, проект «О героях былых времен» и спектакль «Чтобы помнили», посвященные празднованию 80-ой </w:t>
      </w:r>
      <w:r>
        <w:rPr>
          <w:rFonts w:ascii="Times New Roman" w:eastAsia="Times New Roman" w:hAnsi="Times New Roman" w:cs="Times New Roman"/>
          <w:sz w:val="28"/>
          <w:szCs w:val="28"/>
        </w:rPr>
        <w:lastRenderedPageBreak/>
        <w:t xml:space="preserve">годовщине Победы в Великой Отечественной Войне. «О героях былых времен» показали жителям с. </w:t>
      </w:r>
      <w:proofErr w:type="spellStart"/>
      <w:r>
        <w:rPr>
          <w:rFonts w:ascii="Times New Roman" w:eastAsia="Times New Roman" w:hAnsi="Times New Roman" w:cs="Times New Roman"/>
          <w:sz w:val="28"/>
          <w:szCs w:val="28"/>
        </w:rPr>
        <w:t>Раковка</w:t>
      </w:r>
      <w:proofErr w:type="spellEnd"/>
      <w:r>
        <w:rPr>
          <w:rFonts w:ascii="Times New Roman" w:eastAsia="Times New Roman" w:hAnsi="Times New Roman" w:cs="Times New Roman"/>
          <w:sz w:val="28"/>
          <w:szCs w:val="28"/>
        </w:rPr>
        <w:t xml:space="preserve"> и району города Доброполье. Так же была проведена выставка совместно с городским музеем ко Дню Победы, и проведен спектакль на центральной площади города «Чтобы помнили» который смогли посмотреть жители нашего города. </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Проведена творческая встреча с детьми в </w:t>
      </w:r>
      <w:proofErr w:type="spellStart"/>
      <w:r>
        <w:rPr>
          <w:rFonts w:ascii="Times New Roman" w:eastAsia="Times New Roman" w:hAnsi="Times New Roman" w:cs="Times New Roman"/>
          <w:sz w:val="28"/>
          <w:szCs w:val="28"/>
        </w:rPr>
        <w:t>михайловской</w:t>
      </w:r>
      <w:proofErr w:type="spellEnd"/>
      <w:r>
        <w:rPr>
          <w:rFonts w:ascii="Times New Roman" w:eastAsia="Times New Roman" w:hAnsi="Times New Roman" w:cs="Times New Roman"/>
          <w:sz w:val="28"/>
          <w:szCs w:val="28"/>
        </w:rPr>
        <w:t xml:space="preserve"> школе                    им. </w:t>
      </w:r>
      <w:proofErr w:type="spellStart"/>
      <w:r>
        <w:rPr>
          <w:rFonts w:ascii="Times New Roman" w:eastAsia="Times New Roman" w:hAnsi="Times New Roman" w:cs="Times New Roman"/>
          <w:sz w:val="28"/>
          <w:szCs w:val="28"/>
        </w:rPr>
        <w:t>Крушанова</w:t>
      </w:r>
      <w:proofErr w:type="spellEnd"/>
      <w:r>
        <w:rPr>
          <w:rFonts w:ascii="Times New Roman" w:eastAsia="Times New Roman" w:hAnsi="Times New Roman" w:cs="Times New Roman"/>
          <w:sz w:val="28"/>
          <w:szCs w:val="28"/>
        </w:rPr>
        <w:t xml:space="preserve"> на тему «школьные театры».</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отчетном периоде артисты побывали на гастролях в г. Владивосток со спектаклем «Мой папа - Гулливер», в г. </w:t>
      </w:r>
      <w:proofErr w:type="spellStart"/>
      <w:r>
        <w:rPr>
          <w:rFonts w:ascii="Times New Roman" w:eastAsia="Times New Roman" w:hAnsi="Times New Roman" w:cs="Times New Roman"/>
          <w:sz w:val="28"/>
          <w:szCs w:val="28"/>
        </w:rPr>
        <w:t>Большой-Камень</w:t>
      </w:r>
      <w:proofErr w:type="spellEnd"/>
      <w:r>
        <w:rPr>
          <w:rFonts w:ascii="Times New Roman" w:eastAsia="Times New Roman" w:hAnsi="Times New Roman" w:cs="Times New Roman"/>
          <w:sz w:val="28"/>
          <w:szCs w:val="28"/>
        </w:rPr>
        <w:t xml:space="preserve"> со спектаклем «Сегодня или никогда» и кукольный спектакль с мастер-классом «Маленькие истории», в с. Хороль со спектаклем «Эликсир любви», в пос. Кировский со спектаклем «Сегодня или никогда» и «Пожарный тигренок» Билеты были реализованы в том числе по «Пушкинской карте».</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Приняли участия в фестивалях, таких как: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Фестиваль театров малых городов в г. Сыктывкар со спектаклем «Мой папа - Гулливер», режиссер спектакля Роман </w:t>
      </w:r>
      <w:proofErr w:type="spellStart"/>
      <w:r>
        <w:rPr>
          <w:rFonts w:ascii="Times New Roman" w:eastAsia="Times New Roman" w:hAnsi="Times New Roman" w:cs="Times New Roman"/>
          <w:sz w:val="28"/>
          <w:szCs w:val="28"/>
        </w:rPr>
        <w:t>Габриа</w:t>
      </w:r>
      <w:proofErr w:type="spellEnd"/>
      <w:r>
        <w:rPr>
          <w:rFonts w:ascii="Times New Roman" w:eastAsia="Times New Roman" w:hAnsi="Times New Roman" w:cs="Times New Roman"/>
          <w:sz w:val="28"/>
          <w:szCs w:val="28"/>
        </w:rPr>
        <w:t xml:space="preserve"> ;</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Фестиваль театров Дальнего Востока в г. Южно-Сахалинск со спектаклем «Мой папа - Гулливер» режиссер спектакля Роман </w:t>
      </w:r>
      <w:proofErr w:type="spellStart"/>
      <w:r>
        <w:rPr>
          <w:rFonts w:ascii="Times New Roman" w:eastAsia="Times New Roman" w:hAnsi="Times New Roman" w:cs="Times New Roman"/>
          <w:sz w:val="28"/>
          <w:szCs w:val="28"/>
        </w:rPr>
        <w:t>Габриа</w:t>
      </w:r>
      <w:proofErr w:type="spellEnd"/>
      <w:r>
        <w:rPr>
          <w:rFonts w:ascii="Times New Roman" w:eastAsia="Times New Roman" w:hAnsi="Times New Roman" w:cs="Times New Roman"/>
          <w:sz w:val="28"/>
          <w:szCs w:val="28"/>
        </w:rPr>
        <w:t>.</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Большой вклад внесли сотрудники учреждения в организацию общегородских мероприятий. Так, ко Дню города на центральной площади была оформлена </w:t>
      </w:r>
      <w:proofErr w:type="spellStart"/>
      <w:r>
        <w:rPr>
          <w:rFonts w:ascii="Times New Roman" w:eastAsia="Times New Roman" w:hAnsi="Times New Roman" w:cs="Times New Roman"/>
          <w:sz w:val="28"/>
          <w:szCs w:val="28"/>
        </w:rPr>
        <w:t>фотозона</w:t>
      </w:r>
      <w:proofErr w:type="spellEnd"/>
      <w:r>
        <w:rPr>
          <w:rFonts w:ascii="Times New Roman" w:eastAsia="Times New Roman" w:hAnsi="Times New Roman" w:cs="Times New Roman"/>
          <w:sz w:val="28"/>
          <w:szCs w:val="28"/>
        </w:rPr>
        <w:t>, каждый желающий смог сфотографироваться с любимыми героями, и организованна мини-постановка «Оловянного солдатика» детьми из театральной студии «Маска» и «Мастер» с привлечением актеров нашего театра.</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Помимо собственных постановок, на сцене театра в отчетном периоде прошло чествование Почетных граждан Уссурийского городского округа, лидеров общественных объединений и органов территориального общественного самоуправления Уссурийского городского округа, творческие </w:t>
      </w:r>
      <w:r>
        <w:rPr>
          <w:rFonts w:ascii="Times New Roman" w:eastAsia="Times New Roman" w:hAnsi="Times New Roman" w:cs="Times New Roman"/>
          <w:sz w:val="28"/>
          <w:szCs w:val="28"/>
        </w:rPr>
        <w:lastRenderedPageBreak/>
        <w:t>концерты. Посещение спектакля «Чтобы помнили…» Серебряными волонтерами.</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Перед открытием 88-го театрального сезона был проведен капитальный ремонт системы отопления внутри здания за счет городского бюджета, подключение здания к наружным сетям теплоснабжения за счет городского б</w:t>
      </w:r>
      <w:r w:rsidR="00CD1F55">
        <w:rPr>
          <w:rFonts w:ascii="Times New Roman" w:eastAsia="Times New Roman" w:hAnsi="Times New Roman" w:cs="Times New Roman"/>
          <w:sz w:val="28"/>
          <w:szCs w:val="28"/>
        </w:rPr>
        <w:t>юджета Уссурийского городского о</w:t>
      </w:r>
      <w:r>
        <w:rPr>
          <w:rFonts w:ascii="Times New Roman" w:eastAsia="Times New Roman" w:hAnsi="Times New Roman" w:cs="Times New Roman"/>
          <w:sz w:val="28"/>
          <w:szCs w:val="28"/>
        </w:rPr>
        <w:t>круга.</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октябре театр показал спектакль ко дню пожилого человека «Мой папа – Гулливер» по пьесе Романа </w:t>
      </w:r>
      <w:proofErr w:type="spellStart"/>
      <w:r>
        <w:rPr>
          <w:rFonts w:ascii="Times New Roman" w:eastAsia="Times New Roman" w:hAnsi="Times New Roman" w:cs="Times New Roman"/>
          <w:sz w:val="28"/>
          <w:szCs w:val="28"/>
        </w:rPr>
        <w:t>Габриа</w:t>
      </w:r>
      <w:proofErr w:type="spellEnd"/>
      <w:r>
        <w:rPr>
          <w:rFonts w:ascii="Times New Roman" w:eastAsia="Times New Roman" w:hAnsi="Times New Roman" w:cs="Times New Roman"/>
          <w:sz w:val="28"/>
          <w:szCs w:val="28"/>
        </w:rPr>
        <w:t>, на которую были приглашены «Серебряные волонтеры» и «Активное долголетие». А так же состоялась премьера спектакля к открытию 88-го театрального сезона «Укрощение строптивой» по пьесе В. Шекспира на которую были выделены средства из краевого бюджета порядком 589 тысяч рублей, из местного бюджета – 1330045 рублей.</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Праздничным завершением года стали новогодняя сказка для детей «</w:t>
      </w:r>
      <w:proofErr w:type="spellStart"/>
      <w:r>
        <w:rPr>
          <w:rFonts w:ascii="Times New Roman" w:eastAsia="Times New Roman" w:hAnsi="Times New Roman" w:cs="Times New Roman"/>
          <w:sz w:val="28"/>
          <w:szCs w:val="28"/>
        </w:rPr>
        <w:t>Морозко</w:t>
      </w:r>
      <w:proofErr w:type="spellEnd"/>
      <w:r>
        <w:rPr>
          <w:rFonts w:ascii="Times New Roman" w:eastAsia="Times New Roman" w:hAnsi="Times New Roman" w:cs="Times New Roman"/>
          <w:sz w:val="28"/>
          <w:szCs w:val="28"/>
        </w:rPr>
        <w:t xml:space="preserve">» автор Ольга </w:t>
      </w:r>
      <w:proofErr w:type="spellStart"/>
      <w:r>
        <w:rPr>
          <w:rFonts w:ascii="Times New Roman" w:eastAsia="Times New Roman" w:hAnsi="Times New Roman" w:cs="Times New Roman"/>
          <w:sz w:val="28"/>
          <w:szCs w:val="28"/>
        </w:rPr>
        <w:t>Черепова</w:t>
      </w:r>
      <w:proofErr w:type="spellEnd"/>
      <w:r>
        <w:rPr>
          <w:rFonts w:ascii="Times New Roman" w:eastAsia="Times New Roman" w:hAnsi="Times New Roman" w:cs="Times New Roman"/>
          <w:sz w:val="28"/>
          <w:szCs w:val="28"/>
        </w:rPr>
        <w:t xml:space="preserve">, режиссер спектакля Александр </w:t>
      </w:r>
      <w:proofErr w:type="spellStart"/>
      <w:r>
        <w:rPr>
          <w:rFonts w:ascii="Times New Roman" w:eastAsia="Times New Roman" w:hAnsi="Times New Roman" w:cs="Times New Roman"/>
          <w:sz w:val="28"/>
          <w:szCs w:val="28"/>
        </w:rPr>
        <w:t>Нешинкин</w:t>
      </w:r>
      <w:proofErr w:type="spellEnd"/>
      <w:r>
        <w:rPr>
          <w:rFonts w:ascii="Times New Roman" w:eastAsia="Times New Roman" w:hAnsi="Times New Roman" w:cs="Times New Roman"/>
          <w:sz w:val="28"/>
          <w:szCs w:val="28"/>
        </w:rPr>
        <w:t xml:space="preserve">  и спектакль-капустник для взрослых «Из песни слов не выкинешь» (режиссер-постановщик Леонид Прокофьев и Александр </w:t>
      </w:r>
      <w:proofErr w:type="spellStart"/>
      <w:r>
        <w:rPr>
          <w:rFonts w:ascii="Times New Roman" w:eastAsia="Times New Roman" w:hAnsi="Times New Roman" w:cs="Times New Roman"/>
          <w:sz w:val="28"/>
          <w:szCs w:val="28"/>
        </w:rPr>
        <w:t>Нешинкин</w:t>
      </w:r>
      <w:proofErr w:type="spellEnd"/>
      <w:r>
        <w:rPr>
          <w:rFonts w:ascii="Times New Roman" w:eastAsia="Times New Roman" w:hAnsi="Times New Roman" w:cs="Times New Roman"/>
          <w:sz w:val="28"/>
          <w:szCs w:val="28"/>
        </w:rPr>
        <w:t>).</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театре проведена «Елка желаний» с участием главы города                         Е. Е. Корж и шесть благотворительных утренников «Елка Главы», на которых побывали дети участников специальной военной операции, дети из многодетных семей.</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2025 году театр продолжил работу по программе популяризации культурных мероприятий среди молодежи «Пушкинская карта» в рамках национального проекта «Культура». В настоящее время к продаже по «Пушкинской карте» одобрены 21 постановка театра. В отчетном периоде по «Пушкинской карте» театр посетили 844 человек.</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2026 году планируется шесть театральных премьер: спектакль «Анна Герман. Дом её мечты», автор Алексей </w:t>
      </w:r>
      <w:proofErr w:type="spellStart"/>
      <w:r>
        <w:rPr>
          <w:rFonts w:ascii="Times New Roman" w:eastAsia="Times New Roman" w:hAnsi="Times New Roman" w:cs="Times New Roman"/>
          <w:sz w:val="28"/>
          <w:szCs w:val="28"/>
        </w:rPr>
        <w:t>Похресный</w:t>
      </w:r>
      <w:proofErr w:type="spellEnd"/>
      <w:r>
        <w:rPr>
          <w:rFonts w:ascii="Times New Roman" w:eastAsia="Times New Roman" w:hAnsi="Times New Roman" w:cs="Times New Roman"/>
          <w:sz w:val="28"/>
          <w:szCs w:val="28"/>
        </w:rPr>
        <w:t xml:space="preserve">, режиссер – Алексей </w:t>
      </w:r>
      <w:proofErr w:type="spellStart"/>
      <w:r>
        <w:rPr>
          <w:rFonts w:ascii="Times New Roman" w:eastAsia="Times New Roman" w:hAnsi="Times New Roman" w:cs="Times New Roman"/>
          <w:sz w:val="28"/>
          <w:szCs w:val="28"/>
        </w:rPr>
        <w:t>Похресный</w:t>
      </w:r>
      <w:proofErr w:type="spellEnd"/>
      <w:r>
        <w:rPr>
          <w:rFonts w:ascii="Times New Roman" w:eastAsia="Times New Roman" w:hAnsi="Times New Roman" w:cs="Times New Roman"/>
          <w:sz w:val="28"/>
          <w:szCs w:val="28"/>
        </w:rPr>
        <w:t xml:space="preserve">, спектакль «Оскар и Розовая дама» автор Виталий Лебедев, </w:t>
      </w:r>
      <w:r>
        <w:rPr>
          <w:rFonts w:ascii="Times New Roman" w:eastAsia="Times New Roman" w:hAnsi="Times New Roman" w:cs="Times New Roman"/>
          <w:sz w:val="28"/>
          <w:szCs w:val="28"/>
        </w:rPr>
        <w:lastRenderedPageBreak/>
        <w:t xml:space="preserve">режиссер – Александр </w:t>
      </w:r>
      <w:proofErr w:type="spellStart"/>
      <w:r>
        <w:rPr>
          <w:rFonts w:ascii="Times New Roman" w:eastAsia="Times New Roman" w:hAnsi="Times New Roman" w:cs="Times New Roman"/>
          <w:sz w:val="28"/>
          <w:szCs w:val="28"/>
        </w:rPr>
        <w:t>Нешинкин</w:t>
      </w:r>
      <w:proofErr w:type="spellEnd"/>
      <w:r>
        <w:rPr>
          <w:rFonts w:ascii="Times New Roman" w:eastAsia="Times New Roman" w:hAnsi="Times New Roman" w:cs="Times New Roman"/>
          <w:sz w:val="28"/>
          <w:szCs w:val="28"/>
        </w:rPr>
        <w:t>, спектакль «</w:t>
      </w:r>
      <w:proofErr w:type="spellStart"/>
      <w:r>
        <w:rPr>
          <w:rFonts w:ascii="Times New Roman" w:eastAsia="Times New Roman" w:hAnsi="Times New Roman" w:cs="Times New Roman"/>
          <w:sz w:val="28"/>
          <w:szCs w:val="28"/>
        </w:rPr>
        <w:t>Люблюнемогу</w:t>
      </w:r>
      <w:proofErr w:type="spellEnd"/>
      <w:r>
        <w:rPr>
          <w:rFonts w:ascii="Times New Roman" w:eastAsia="Times New Roman" w:hAnsi="Times New Roman" w:cs="Times New Roman"/>
          <w:sz w:val="28"/>
          <w:szCs w:val="28"/>
        </w:rPr>
        <w:t xml:space="preserve">», режиссер Леонид Прокофьев, спектакль для детей «сказки А.С. Пушкина», автор А.С. Пушкин, режиссер – Игорь Лебедев ко Дню защиты детей, спектакль для детей «Буратино», автор Снеговая Ирина, режиссер – Мария </w:t>
      </w:r>
      <w:proofErr w:type="spellStart"/>
      <w:r>
        <w:rPr>
          <w:rFonts w:ascii="Times New Roman" w:eastAsia="Times New Roman" w:hAnsi="Times New Roman" w:cs="Times New Roman"/>
          <w:sz w:val="28"/>
          <w:szCs w:val="28"/>
        </w:rPr>
        <w:t>Зускина</w:t>
      </w:r>
      <w:proofErr w:type="spellEnd"/>
      <w:r>
        <w:rPr>
          <w:rFonts w:ascii="Times New Roman" w:eastAsia="Times New Roman" w:hAnsi="Times New Roman" w:cs="Times New Roman"/>
          <w:sz w:val="28"/>
          <w:szCs w:val="28"/>
        </w:rPr>
        <w:t xml:space="preserve">, спектакль «Люблю </w:t>
      </w:r>
      <w:proofErr w:type="spellStart"/>
      <w:r>
        <w:rPr>
          <w:rFonts w:ascii="Times New Roman" w:eastAsia="Times New Roman" w:hAnsi="Times New Roman" w:cs="Times New Roman"/>
          <w:sz w:val="28"/>
          <w:szCs w:val="28"/>
        </w:rPr>
        <w:t>Немогу</w:t>
      </w:r>
      <w:proofErr w:type="spellEnd"/>
      <w:r>
        <w:rPr>
          <w:rFonts w:ascii="Times New Roman" w:eastAsia="Times New Roman" w:hAnsi="Times New Roman" w:cs="Times New Roman"/>
          <w:sz w:val="28"/>
          <w:szCs w:val="28"/>
        </w:rPr>
        <w:t xml:space="preserve">», автор Ольга Никифорова, режиссер </w:t>
      </w:r>
      <w:proofErr w:type="spellStart"/>
      <w:r>
        <w:rPr>
          <w:rFonts w:ascii="Times New Roman" w:eastAsia="Times New Roman" w:hAnsi="Times New Roman" w:cs="Times New Roman"/>
          <w:sz w:val="28"/>
          <w:szCs w:val="28"/>
        </w:rPr>
        <w:t>Леонод</w:t>
      </w:r>
      <w:proofErr w:type="spellEnd"/>
      <w:r>
        <w:rPr>
          <w:rFonts w:ascii="Times New Roman" w:eastAsia="Times New Roman" w:hAnsi="Times New Roman" w:cs="Times New Roman"/>
          <w:sz w:val="28"/>
          <w:szCs w:val="28"/>
        </w:rPr>
        <w:t xml:space="preserve"> Прокофьев, а так же постановка новогодней сказки и вечернего новогоднего спектакля. </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планах также поездки на Фестиваль театров Дальнего Востока и на фестиваль на Сахалин.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 перечне ремонтных работ, которые учреждение планирует выполнить в 2026 году, замена крепления спуска-подъема люстры здания театра, замена тактильной плитки в театральном дворе, замена ливневых лотков прилегающей территории главного фасада, обследование и техническое заключение полов фойе первого этажа.</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pStyle w:val="2f6"/>
        <w:keepNext w:val="0"/>
        <w:spacing w:before="0"/>
        <w:ind w:left="0"/>
      </w:pPr>
      <w:bookmarkStart w:id="85" w:name="_Toc81"/>
      <w:r>
        <w:t>Организация музейной деятельности</w:t>
      </w:r>
      <w:bookmarkEnd w:id="85"/>
    </w:p>
    <w:p w:rsidR="00B52DE3" w:rsidRDefault="00B52DE3">
      <w:pPr>
        <w:widowControl w:val="0"/>
        <w:spacing w:after="0" w:line="360" w:lineRule="auto"/>
        <w:jc w:val="center"/>
        <w:rPr>
          <w:rFonts w:ascii="Times New Roman" w:hAnsi="Times New Roman" w:cs="Times New Roman"/>
          <w:b/>
          <w:sz w:val="28"/>
          <w:szCs w:val="28"/>
        </w:rPr>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Одним из основных целей музея и пунктов муниципального задания музея является выполнение работ по формированию, учету, обеспечению сохранности и безопасности музейных предметов. Всего на 01 января                    2026 года в музее хранится </w:t>
      </w:r>
      <w:r>
        <w:rPr>
          <w:rFonts w:ascii="Times New Roman" w:eastAsia="Times New Roman" w:hAnsi="Times New Roman" w:cs="Times New Roman"/>
          <w:color w:val="000000" w:themeColor="dark1"/>
          <w:sz w:val="28"/>
          <w:szCs w:val="28"/>
        </w:rPr>
        <w:t xml:space="preserve">18 897 предметов. </w:t>
      </w:r>
      <w:r>
        <w:rPr>
          <w:rFonts w:ascii="Times New Roman" w:eastAsia="Times New Roman" w:hAnsi="Times New Roman" w:cs="Times New Roman"/>
          <w:sz w:val="28"/>
          <w:szCs w:val="28"/>
        </w:rPr>
        <w:t xml:space="preserve">В течение 2025 года проводились систематическое и тематическое комплектование фондов, прием новых поступлений (500 предметов), </w:t>
      </w:r>
      <w:proofErr w:type="spellStart"/>
      <w:r>
        <w:rPr>
          <w:rFonts w:ascii="Times New Roman" w:eastAsia="Times New Roman" w:hAnsi="Times New Roman" w:cs="Times New Roman"/>
          <w:sz w:val="28"/>
          <w:szCs w:val="28"/>
        </w:rPr>
        <w:t>внутри-музейная</w:t>
      </w:r>
      <w:proofErr w:type="spellEnd"/>
      <w:r>
        <w:rPr>
          <w:rFonts w:ascii="Times New Roman" w:eastAsia="Times New Roman" w:hAnsi="Times New Roman" w:cs="Times New Roman"/>
          <w:sz w:val="28"/>
          <w:szCs w:val="28"/>
        </w:rPr>
        <w:t xml:space="preserve"> передача, прием на временное хранение, внешняя выдача, фото-фиксация музейных предметов. Осуществлялся статистический отчет по поступлению и хранению музейного фонда. Основной источник комплектования – дарение.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В 2025 году отдел хранения и учета провел объемную работу по сверке, оцифровал и дополнил описание и сохранность коллекции фотографии и живопись, документы, нумизматика, предметы печатной продукции, </w:t>
      </w:r>
      <w:r>
        <w:rPr>
          <w:rFonts w:ascii="Times New Roman" w:eastAsia="Times New Roman" w:hAnsi="Times New Roman" w:cs="Times New Roman"/>
          <w:sz w:val="28"/>
          <w:szCs w:val="28"/>
        </w:rPr>
        <w:lastRenderedPageBreak/>
        <w:t xml:space="preserve">предметы прикладного искусства, быта и этнографии – 1640 предметов.                   700 предметов экспонировалось в постоянных, временных и передвижных выставках.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 xml:space="preserve">В рамках государственной программы Уссурийский музей ведет работу по внесению музейных предметов в Государственный музейный каталог. За 2025 год внесено 1092 ед. </w:t>
      </w:r>
    </w:p>
    <w:p w:rsidR="00B52DE3" w:rsidRDefault="00DE73E3">
      <w:pPr>
        <w:spacing w:after="0" w:line="360" w:lineRule="auto"/>
        <w:ind w:firstLine="708"/>
        <w:jc w:val="both"/>
        <w:rPr>
          <w:rFonts w:ascii="Times New Roman" w:hAnsi="Times New Roman" w:cs="Times New Roman"/>
        </w:rPr>
      </w:pPr>
      <w:bookmarkStart w:id="86" w:name="_GoBack_Копия_1"/>
      <w:r>
        <w:rPr>
          <w:rFonts w:ascii="Times New Roman" w:eastAsia="Times New Roman" w:hAnsi="Times New Roman" w:cs="Times New Roman"/>
          <w:sz w:val="28"/>
          <w:szCs w:val="28"/>
        </w:rPr>
        <w:t xml:space="preserve">Просветительская деятельность </w:t>
      </w:r>
      <w:bookmarkEnd w:id="86"/>
      <w:r>
        <w:rPr>
          <w:rFonts w:ascii="Times New Roman" w:eastAsia="Times New Roman" w:hAnsi="Times New Roman" w:cs="Times New Roman"/>
          <w:sz w:val="28"/>
          <w:szCs w:val="28"/>
        </w:rPr>
        <w:t xml:space="preserve">– одна из основных форм музейной деятельности и муниципальных задач. В Уссурийском музее проходят экскурсии в музее и по городу, </w:t>
      </w:r>
      <w:proofErr w:type="spellStart"/>
      <w:r>
        <w:rPr>
          <w:rFonts w:ascii="Times New Roman" w:eastAsia="Times New Roman" w:hAnsi="Times New Roman" w:cs="Times New Roman"/>
          <w:sz w:val="28"/>
          <w:szCs w:val="28"/>
        </w:rPr>
        <w:t>мультимедийные</w:t>
      </w:r>
      <w:proofErr w:type="spellEnd"/>
      <w:r>
        <w:rPr>
          <w:rFonts w:ascii="Times New Roman" w:eastAsia="Times New Roman" w:hAnsi="Times New Roman" w:cs="Times New Roman"/>
          <w:sz w:val="28"/>
          <w:szCs w:val="28"/>
        </w:rPr>
        <w:t xml:space="preserve"> лекции, интерактивные музейные занятия, мастер-классы и игровые программы, конкурсы и научные конференции, круглые столы, заседания краеведов и музейных работников, творческие вечера, </w:t>
      </w:r>
      <w:proofErr w:type="spellStart"/>
      <w:r>
        <w:rPr>
          <w:rFonts w:ascii="Times New Roman" w:eastAsia="Times New Roman" w:hAnsi="Times New Roman" w:cs="Times New Roman"/>
          <w:sz w:val="28"/>
          <w:szCs w:val="28"/>
        </w:rPr>
        <w:t>квесты</w:t>
      </w:r>
      <w:proofErr w:type="spellEnd"/>
      <w:r>
        <w:rPr>
          <w:rFonts w:ascii="Times New Roman" w:eastAsia="Times New Roman" w:hAnsi="Times New Roman" w:cs="Times New Roman"/>
          <w:sz w:val="28"/>
          <w:szCs w:val="28"/>
        </w:rPr>
        <w:t xml:space="preserve"> и т.д. Большую долю составляют культурно-просветительские программы для детей и молодежи. </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Сотрудники проводят экскурсии по основным экспозициям музея, по улицам города, а также разрабатывают экскурсии к временным выставкам. В 2025 году 232 экскурсий (АППГ – 224) посетили 3871 чел. (АППГ – 3837).</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В 2025 году сотрудники музея проводили лекции, игровые и интерактивные музейные занятия, сопровождаемые показом экспонатов: было проведено 386 занятия (АППГ – 383), которыми было охвачено                     10579 чел. (АППГ - 7294).</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ab/>
        <w:t>85 культурно-образовательных мероприятий (АППГ – 55) (лекции, исторические беседы, заседания клуба «Добрые встречи», творческие встречи, концерты, презентации выставок и проектов и т.д.) посетили                  2819 человека.</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Образовательным и экскурсионным обслуживанием было охвачено                    54 учреждения и организации города и края.</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С целью увеличения посещения музея Уссурийский музей активно совершенствует работу с посетителями. Реализуются акции:</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lastRenderedPageBreak/>
        <w:t>«С семьей в музей и просто так» - мероприятия в выходные дни для семейной аудитории (</w:t>
      </w:r>
      <w:proofErr w:type="spellStart"/>
      <w:r>
        <w:rPr>
          <w:rFonts w:ascii="Times New Roman" w:eastAsia="Times New Roman" w:hAnsi="Times New Roman" w:cs="Times New Roman"/>
          <w:color w:val="000000"/>
          <w:sz w:val="28"/>
          <w:szCs w:val="28"/>
        </w:rPr>
        <w:t>квесты</w:t>
      </w:r>
      <w:proofErr w:type="spellEnd"/>
      <w:r>
        <w:rPr>
          <w:rFonts w:ascii="Times New Roman" w:eastAsia="Times New Roman" w:hAnsi="Times New Roman" w:cs="Times New Roman"/>
          <w:color w:val="000000"/>
          <w:sz w:val="28"/>
          <w:szCs w:val="28"/>
        </w:rPr>
        <w:t>, уголки для творческой работы, поисковые задания, настольные игры, индивидуальные мастер-классы);</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 xml:space="preserve">акция «Музейный вечер в четверг» - по четвергам в музее удлиненный день, с 17.00 до 19.00 проводятся индивидуальные экскурсии. </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 xml:space="preserve">Таким образом, культурно-образовательными и экскурсионными программами (2025 году – 703 муниципальных услуги, АППГ – 698) было охвачено 17269 человек (АППГ – 14453 чел.). </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Музейные интерактивные, экскурсионные площадки и мастер-классы в рамках массовых и городских мероприятий посетили 20169 человек.</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Индивидуально посетили экспозиции и выставки в музее 10221 чел. (АППГ - 9567 чел.).</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С 2019 года МБУК «Уссурийский музей» принимает участие в национальном проекте «Культура». На период с 2019 по 2030 гг. установлены показатели повышения количества посещений музеев.                           АППГ В 2025 году плановый показатель «Уссурийского музея» – 38130 человек. Фактически работой музея по популяризации исторического и культурного наследия в 2025 году было охвачено 47659 человек.</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sz w:val="28"/>
          <w:szCs w:val="28"/>
        </w:rPr>
        <w:t>В рамках осуществления выставочной деятельности в музее работают постоянные экспозиции («Уссурийские древности», «Основание Уссурийска», «</w:t>
      </w:r>
      <w:proofErr w:type="spellStart"/>
      <w:r>
        <w:rPr>
          <w:rFonts w:ascii="Times New Roman" w:eastAsia="Times New Roman" w:hAnsi="Times New Roman" w:cs="Times New Roman"/>
          <w:sz w:val="28"/>
          <w:szCs w:val="28"/>
        </w:rPr>
        <w:t>Уссурийцы</w:t>
      </w:r>
      <w:proofErr w:type="spellEnd"/>
      <w:r>
        <w:rPr>
          <w:rFonts w:ascii="Times New Roman" w:eastAsia="Times New Roman" w:hAnsi="Times New Roman" w:cs="Times New Roman"/>
          <w:sz w:val="28"/>
          <w:szCs w:val="28"/>
        </w:rPr>
        <w:t xml:space="preserve"> в Великой Отечественной войне 1941-1945 годы»), работают долговременные выставки: «Отечества достойные сыны», «Юнги огненных рейсов», выставка картин </w:t>
      </w:r>
      <w:proofErr w:type="spellStart"/>
      <w:r>
        <w:rPr>
          <w:rFonts w:ascii="Times New Roman" w:eastAsia="Times New Roman" w:hAnsi="Times New Roman" w:cs="Times New Roman"/>
          <w:sz w:val="28"/>
          <w:szCs w:val="28"/>
        </w:rPr>
        <w:t>удэгейского</w:t>
      </w:r>
      <w:proofErr w:type="spellEnd"/>
      <w:r>
        <w:rPr>
          <w:rFonts w:ascii="Times New Roman" w:eastAsia="Times New Roman" w:hAnsi="Times New Roman" w:cs="Times New Roman"/>
          <w:sz w:val="28"/>
          <w:szCs w:val="28"/>
        </w:rPr>
        <w:t xml:space="preserve"> художника </w:t>
      </w:r>
      <w:proofErr w:type="spellStart"/>
      <w:r>
        <w:rPr>
          <w:rFonts w:ascii="Times New Roman" w:eastAsia="Times New Roman" w:hAnsi="Times New Roman" w:cs="Times New Roman"/>
          <w:sz w:val="28"/>
          <w:szCs w:val="28"/>
        </w:rPr>
        <w:t>Дункая</w:t>
      </w:r>
      <w:proofErr w:type="spellEnd"/>
      <w:r>
        <w:rPr>
          <w:rFonts w:ascii="Times New Roman" w:eastAsia="Times New Roman" w:hAnsi="Times New Roman" w:cs="Times New Roman"/>
          <w:sz w:val="28"/>
          <w:szCs w:val="28"/>
        </w:rPr>
        <w:t xml:space="preserve"> И.И., «История пограничны войск Приморского края» (Служба Пограничного Управления ФСБ России по Приморского краю), «100 лет назад, в Гражданскую»; «Юнги огненных рейсов»; «Наступала грозная броня. </w:t>
      </w:r>
      <w:proofErr w:type="spellStart"/>
      <w:r>
        <w:rPr>
          <w:rFonts w:ascii="Times New Roman" w:eastAsia="Times New Roman" w:hAnsi="Times New Roman" w:cs="Times New Roman"/>
          <w:sz w:val="28"/>
          <w:szCs w:val="28"/>
        </w:rPr>
        <w:t>Хасанские</w:t>
      </w:r>
      <w:proofErr w:type="spellEnd"/>
      <w:r>
        <w:rPr>
          <w:rFonts w:ascii="Times New Roman" w:eastAsia="Times New Roman" w:hAnsi="Times New Roman" w:cs="Times New Roman"/>
          <w:sz w:val="28"/>
          <w:szCs w:val="28"/>
        </w:rPr>
        <w:t xml:space="preserve"> бри».</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2025 году были оформлены </w:t>
      </w:r>
      <w:r>
        <w:rPr>
          <w:rFonts w:ascii="Times New Roman" w:eastAsia="Times New Roman" w:hAnsi="Times New Roman" w:cs="Times New Roman"/>
          <w:color w:val="000000" w:themeColor="dark1"/>
          <w:sz w:val="28"/>
          <w:szCs w:val="28"/>
        </w:rPr>
        <w:t>13 тематических выставок (план – 12)</w:t>
      </w:r>
      <w:r>
        <w:rPr>
          <w:rFonts w:ascii="Times New Roman" w:eastAsia="Times New Roman" w:hAnsi="Times New Roman" w:cs="Times New Roman"/>
          <w:sz w:val="28"/>
          <w:szCs w:val="28"/>
        </w:rPr>
        <w:t xml:space="preserve">: </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мире денег», на которой были представлены музейные коллекции;</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«Я, конечно, вернусь», посвященная В. Высоцкому;</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«Загадочный мир старинной книги» в рамках Дня славянской письменности;</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«Карусель дружбы. Фарфоровые куклы в костюмах народов мира» (музейные и частные коллекции);</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«Всё начинается с мечты» - художественная выставка работ студии «Золотое сечение»;</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«Поехали!», посвященная Дню космонавтики;</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«Поклон тебе, великая Победа» Награды Победы», посвященная 80-летию со Дня Победы в Великой Отечественной войне и Году защитника Отечества;</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«Поколение» Фотовыставка Натальи Грабовской в рамках Года защитника Отечества (портреты участников СВО и членов их семей);</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«Открытка – документ эпохи» (музейные коллекции к Дню открытки);</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родных местах» (ху</w:t>
      </w:r>
      <w:r w:rsidR="007A6833">
        <w:rPr>
          <w:rFonts w:ascii="Times New Roman" w:eastAsia="Times New Roman" w:hAnsi="Times New Roman" w:cs="Times New Roman"/>
          <w:sz w:val="28"/>
          <w:szCs w:val="28"/>
        </w:rPr>
        <w:t>дожественная выставка картин И.</w:t>
      </w:r>
      <w:r>
        <w:rPr>
          <w:rFonts w:ascii="Times New Roman" w:eastAsia="Times New Roman" w:hAnsi="Times New Roman" w:cs="Times New Roman"/>
          <w:sz w:val="28"/>
          <w:szCs w:val="28"/>
        </w:rPr>
        <w:t>В. Брагиной и студии «Золотое сечение», посвященные Дню города Уссурийска);</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«Михаил Адамович </w:t>
      </w:r>
      <w:proofErr w:type="spellStart"/>
      <w:r>
        <w:rPr>
          <w:rFonts w:ascii="Times New Roman" w:eastAsia="Times New Roman" w:hAnsi="Times New Roman" w:cs="Times New Roman"/>
          <w:sz w:val="28"/>
          <w:szCs w:val="28"/>
        </w:rPr>
        <w:t>Ивасик</w:t>
      </w:r>
      <w:proofErr w:type="spellEnd"/>
      <w:r>
        <w:rPr>
          <w:rFonts w:ascii="Times New Roman" w:eastAsia="Times New Roman" w:hAnsi="Times New Roman" w:cs="Times New Roman"/>
          <w:sz w:val="28"/>
          <w:szCs w:val="28"/>
        </w:rPr>
        <w:t>», посвященная Году защитника Отечества;</w:t>
      </w:r>
    </w:p>
    <w:p w:rsidR="00B52DE3" w:rsidRDefault="00DE73E3">
      <w:pPr>
        <w:shd w:val="clear" w:color="auto" w:fill="FFFFFF"/>
        <w:spacing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«Броня крепка и танки наши быстры», посвященная Году защитника Отечества;</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sz w:val="28"/>
          <w:szCs w:val="28"/>
        </w:rPr>
        <w:t>«В ожидании волшебства», посвященная Новому году.</w:t>
      </w:r>
    </w:p>
    <w:p w:rsidR="00B52DE3" w:rsidRDefault="00DE73E3">
      <w:pPr>
        <w:shd w:val="clear" w:color="auto" w:fill="FFFFFF"/>
        <w:spacing w:after="0" w:line="360" w:lineRule="auto"/>
        <w:ind w:firstLine="7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dark1"/>
          <w:sz w:val="28"/>
          <w:szCs w:val="28"/>
        </w:rPr>
        <w:t>Участие во всероссийских, региональных, краевых мероприятиях и конкурсах</w:t>
      </w:r>
      <w:r>
        <w:rPr>
          <w:rFonts w:ascii="Times New Roman" w:eastAsia="Times New Roman" w:hAnsi="Times New Roman" w:cs="Times New Roman"/>
          <w:color w:val="000000"/>
          <w:sz w:val="28"/>
          <w:szCs w:val="28"/>
        </w:rPr>
        <w:t>:</w:t>
      </w:r>
    </w:p>
    <w:p w:rsidR="00B52DE3" w:rsidRDefault="00DE73E3">
      <w:pPr>
        <w:shd w:val="clear" w:color="auto" w:fill="FFFFFF"/>
        <w:spacing w:after="0" w:line="360" w:lineRule="auto"/>
        <w:ind w:firstLine="7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Международный конкурс архивных, поисков</w:t>
      </w:r>
      <w:r w:rsidR="00783106">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-исследовательских и творческих работ «Герои Хасана на карте России – Герои Великой Отечественной войны» (Михайлов Е.В., октябрь, г. Владивосток);</w:t>
      </w:r>
    </w:p>
    <w:p w:rsidR="00B52DE3" w:rsidRDefault="00DE73E3">
      <w:pPr>
        <w:shd w:val="clear" w:color="auto" w:fill="FFFFFF"/>
        <w:spacing w:after="0" w:line="360" w:lineRule="auto"/>
        <w:ind w:firstLine="7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Федеральный конкурс и практический семинар «Проектная мастерская «Музейный Дальний» (</w:t>
      </w:r>
      <w:proofErr w:type="spellStart"/>
      <w:r>
        <w:rPr>
          <w:rFonts w:ascii="Times New Roman" w:eastAsia="Times New Roman" w:hAnsi="Times New Roman" w:cs="Times New Roman"/>
          <w:color w:val="000000"/>
          <w:sz w:val="28"/>
          <w:szCs w:val="28"/>
        </w:rPr>
        <w:t>Богун</w:t>
      </w:r>
      <w:proofErr w:type="spellEnd"/>
      <w:r>
        <w:rPr>
          <w:rFonts w:ascii="Times New Roman" w:eastAsia="Times New Roman" w:hAnsi="Times New Roman" w:cs="Times New Roman"/>
          <w:color w:val="000000"/>
          <w:sz w:val="28"/>
          <w:szCs w:val="28"/>
        </w:rPr>
        <w:t xml:space="preserve"> О.Г., ноябрь, г. Владивосток);</w:t>
      </w:r>
    </w:p>
    <w:p w:rsidR="00B52DE3" w:rsidRDefault="00DE73E3">
      <w:pPr>
        <w:shd w:val="clear" w:color="auto" w:fill="FFFFFF"/>
        <w:spacing w:after="0" w:line="360" w:lineRule="auto"/>
        <w:ind w:firstLine="700"/>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lastRenderedPageBreak/>
        <w:t>мероприятия Всероссийского проекта «Музейные маршруты России. 2025»</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в рамках</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Cs/>
          <w:color w:val="000000"/>
          <w:sz w:val="28"/>
          <w:szCs w:val="28"/>
        </w:rPr>
        <w:t>Международного фестиваля «</w:t>
      </w:r>
      <w:proofErr w:type="spellStart"/>
      <w:r>
        <w:rPr>
          <w:rFonts w:ascii="Times New Roman" w:eastAsia="Times New Roman" w:hAnsi="Times New Roman" w:cs="Times New Roman"/>
          <w:bCs/>
          <w:color w:val="000000"/>
          <w:sz w:val="28"/>
          <w:szCs w:val="28"/>
        </w:rPr>
        <w:t>Интермузей-Экспо</w:t>
      </w:r>
      <w:proofErr w:type="spellEnd"/>
      <w:r>
        <w:rPr>
          <w:rFonts w:ascii="Times New Roman" w:eastAsia="Times New Roman" w:hAnsi="Times New Roman" w:cs="Times New Roman"/>
          <w:bCs/>
          <w:color w:val="000000"/>
          <w:sz w:val="28"/>
          <w:szCs w:val="28"/>
        </w:rPr>
        <w:t>»</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Богун</w:t>
      </w:r>
      <w:proofErr w:type="spellEnd"/>
      <w:r>
        <w:rPr>
          <w:rFonts w:ascii="Times New Roman" w:eastAsia="Times New Roman" w:hAnsi="Times New Roman" w:cs="Times New Roman"/>
          <w:color w:val="000000"/>
          <w:sz w:val="28"/>
          <w:szCs w:val="28"/>
        </w:rPr>
        <w:t xml:space="preserve"> О.Г., </w:t>
      </w:r>
      <w:proofErr w:type="spellStart"/>
      <w:r>
        <w:rPr>
          <w:rFonts w:ascii="Times New Roman" w:eastAsia="Times New Roman" w:hAnsi="Times New Roman" w:cs="Times New Roman"/>
          <w:color w:val="000000"/>
          <w:sz w:val="28"/>
          <w:szCs w:val="28"/>
        </w:rPr>
        <w:t>Хворова</w:t>
      </w:r>
      <w:proofErr w:type="spellEnd"/>
      <w:r>
        <w:rPr>
          <w:rFonts w:ascii="Times New Roman" w:eastAsia="Times New Roman" w:hAnsi="Times New Roman" w:cs="Times New Roman"/>
          <w:color w:val="000000"/>
          <w:sz w:val="28"/>
          <w:szCs w:val="28"/>
        </w:rPr>
        <w:t xml:space="preserve"> О.В., сентябрь, г. Владивосток);</w:t>
      </w:r>
    </w:p>
    <w:p w:rsidR="00B52DE3" w:rsidRDefault="00DE73E3">
      <w:pPr>
        <w:shd w:val="clear" w:color="auto" w:fill="FFFFFF"/>
        <w:spacing w:after="0" w:line="360" w:lineRule="auto"/>
        <w:ind w:firstLine="7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III Дальневосточный историко-музейный форум, посвящённый 80-летию завершения Второй мировой войны» (</w:t>
      </w:r>
      <w:proofErr w:type="spellStart"/>
      <w:r>
        <w:rPr>
          <w:rFonts w:ascii="Times New Roman" w:eastAsia="Times New Roman" w:hAnsi="Times New Roman" w:cs="Times New Roman"/>
          <w:color w:val="000000"/>
          <w:sz w:val="28"/>
          <w:szCs w:val="28"/>
        </w:rPr>
        <w:t>Богун</w:t>
      </w:r>
      <w:proofErr w:type="spellEnd"/>
      <w:r>
        <w:rPr>
          <w:rFonts w:ascii="Times New Roman" w:eastAsia="Times New Roman" w:hAnsi="Times New Roman" w:cs="Times New Roman"/>
          <w:color w:val="000000"/>
          <w:sz w:val="28"/>
          <w:szCs w:val="28"/>
        </w:rPr>
        <w:t xml:space="preserve"> О.Г., сентябрь, г. Хабаровск);</w:t>
      </w:r>
    </w:p>
    <w:p w:rsidR="00B52DE3" w:rsidRDefault="00DE73E3">
      <w:pPr>
        <w:shd w:val="clear" w:color="auto" w:fill="FFFFFF"/>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rPr>
        <w:t xml:space="preserve">практический семинар «Музейная лаборатория» в рамках проекта «Приморская история памяти» Приморской региональной краеведческой общественной организации «Клио». Проект реализуется при поддержке Президентского фонда культурных инициатив и администрацией </w:t>
      </w:r>
      <w:proofErr w:type="spellStart"/>
      <w:r>
        <w:rPr>
          <w:rFonts w:ascii="Times New Roman" w:eastAsia="Times New Roman" w:hAnsi="Times New Roman" w:cs="Times New Roman"/>
          <w:color w:val="000000"/>
          <w:sz w:val="28"/>
          <w:szCs w:val="28"/>
        </w:rPr>
        <w:t>Находкинского</w:t>
      </w:r>
      <w:proofErr w:type="spellEnd"/>
      <w:r>
        <w:rPr>
          <w:rFonts w:ascii="Times New Roman" w:eastAsia="Times New Roman" w:hAnsi="Times New Roman" w:cs="Times New Roman"/>
          <w:color w:val="000000"/>
          <w:sz w:val="28"/>
          <w:szCs w:val="28"/>
        </w:rPr>
        <w:t xml:space="preserve"> городского округа (Внукова Д.Н., Молокова Н.П., </w:t>
      </w:r>
      <w:proofErr w:type="spellStart"/>
      <w:r>
        <w:rPr>
          <w:rFonts w:ascii="Times New Roman" w:eastAsia="Times New Roman" w:hAnsi="Times New Roman" w:cs="Times New Roman"/>
          <w:color w:val="000000"/>
          <w:sz w:val="28"/>
          <w:szCs w:val="28"/>
        </w:rPr>
        <w:t>Домарева</w:t>
      </w:r>
      <w:proofErr w:type="spellEnd"/>
      <w:r>
        <w:rPr>
          <w:rFonts w:ascii="Times New Roman" w:eastAsia="Times New Roman" w:hAnsi="Times New Roman" w:cs="Times New Roman"/>
          <w:color w:val="000000"/>
          <w:sz w:val="28"/>
          <w:szCs w:val="28"/>
        </w:rPr>
        <w:t xml:space="preserve"> Л.А., октябрь, г. Находка).</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 xml:space="preserve">Просветительская деятельность «Уссурийского музея» также ведётся в формате </w:t>
      </w:r>
      <w:proofErr w:type="spellStart"/>
      <w:r>
        <w:rPr>
          <w:rFonts w:ascii="Times New Roman" w:eastAsia="Times New Roman" w:hAnsi="Times New Roman" w:cs="Times New Roman"/>
          <w:color w:val="000000"/>
          <w:sz w:val="28"/>
          <w:szCs w:val="28"/>
        </w:rPr>
        <w:t>онлайн</w:t>
      </w:r>
      <w:proofErr w:type="spellEnd"/>
      <w:r>
        <w:rPr>
          <w:rFonts w:ascii="Times New Roman" w:eastAsia="Times New Roman" w:hAnsi="Times New Roman" w:cs="Times New Roman"/>
          <w:color w:val="000000"/>
          <w:sz w:val="28"/>
          <w:szCs w:val="28"/>
        </w:rPr>
        <w:t>. Были созданы и размещены в сети интернет (сайт музея, социальные сети) исторические материалы и материалы о музейных просветительских мероприятиях. Согласно статистике портала PRO. Культура в 2025 году музейный сайт посетили 6891 человек.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Продолжаются работы по подготовке и проведению лекций и экскурсий, связанных и историей объектов культурного наследия УГО. Прорабатываются экскурсионные маршруты по городу и его окрестностям, которые познакомят участников и историей событий Гражданской войны на Дальнем Востоке 1918-1922 гг. на Уссурийском фронте</w:t>
      </w:r>
    </w:p>
    <w:p w:rsidR="00B52DE3" w:rsidRDefault="00DE73E3">
      <w:pPr>
        <w:spacing w:after="0" w:line="360" w:lineRule="auto"/>
        <w:ind w:firstLine="700"/>
        <w:jc w:val="both"/>
        <w:rPr>
          <w:rFonts w:ascii="Times New Roman" w:hAnsi="Times New Roman" w:cs="Times New Roman"/>
        </w:rPr>
      </w:pPr>
      <w:r>
        <w:rPr>
          <w:rFonts w:ascii="Times New Roman" w:eastAsia="Times New Roman" w:hAnsi="Times New Roman" w:cs="Times New Roman"/>
          <w:color w:val="000000"/>
          <w:sz w:val="28"/>
          <w:szCs w:val="28"/>
          <w:lang w:eastAsia="ru-RU"/>
        </w:rPr>
        <w:t xml:space="preserve">Музей уделяет большое внимание развитию партнерских отношений с учреждениями культуры, образования и науки, общественными и информационными организациями, городскими активистами, силовыми структурами, они совместно разрабатывают и проводят мероприятия разной направленности и для разной аудитории. </w:t>
      </w:r>
    </w:p>
    <w:p w:rsidR="00B52DE3" w:rsidRDefault="00DE73E3">
      <w:pPr>
        <w:pStyle w:val="2f6"/>
        <w:keepNext w:val="0"/>
        <w:spacing w:line="240" w:lineRule="auto"/>
        <w:ind w:left="0"/>
      </w:pPr>
      <w:bookmarkStart w:id="87" w:name="_Toc82"/>
      <w:r>
        <w:t>Итоги реализации программы «Волонтеры культуры» в рамках Национального проекта «Семья» в 2025 году</w:t>
      </w:r>
      <w:bookmarkEnd w:id="87"/>
    </w:p>
    <w:p w:rsidR="00B52DE3" w:rsidRDefault="00B52DE3">
      <w:pPr>
        <w:pStyle w:val="2f6"/>
        <w:keepNext w:val="0"/>
        <w:spacing w:line="240" w:lineRule="auto"/>
      </w:pPr>
    </w:p>
    <w:p w:rsidR="00B52DE3" w:rsidRDefault="00DE73E3">
      <w:pPr>
        <w:pStyle w:val="afff1"/>
        <w:spacing w:line="360" w:lineRule="auto"/>
        <w:ind w:left="0" w:firstLine="708"/>
        <w:jc w:val="both"/>
        <w:rPr>
          <w:sz w:val="28"/>
          <w:szCs w:val="28"/>
        </w:rPr>
      </w:pPr>
      <w:r>
        <w:rPr>
          <w:color w:val="000000" w:themeColor="dark1"/>
          <w:sz w:val="28"/>
          <w:szCs w:val="28"/>
        </w:rPr>
        <w:t xml:space="preserve">В 2025 году на территории Уссурийского городского округа Приморского края активно велась работа в рамках программы «Волонтеры культуры». Основой задачей программы является – обеспечение поддержки добровольческих движений. </w:t>
      </w:r>
    </w:p>
    <w:p w:rsidR="00B52DE3" w:rsidRDefault="00DE73E3">
      <w:pPr>
        <w:pStyle w:val="afff1"/>
        <w:spacing w:line="360" w:lineRule="auto"/>
        <w:ind w:left="0" w:firstLine="708"/>
        <w:jc w:val="both"/>
        <w:rPr>
          <w:sz w:val="28"/>
          <w:szCs w:val="28"/>
        </w:rPr>
      </w:pPr>
      <w:r>
        <w:rPr>
          <w:color w:val="000000" w:themeColor="dark1"/>
          <w:sz w:val="28"/>
          <w:szCs w:val="28"/>
        </w:rPr>
        <w:t xml:space="preserve">С целью укрепления российской гражданской идентичности на основе духовно-нравственных и культурных ценностей народов Российской Федерации, поддержки добровольческих движений, в т.ч. в сфере сохранения культурного наследия народов Российской Федерации в 2025 г. силами специалистов МАУК «МЦКД «Горизонт» был проведена обширная работа по реализации мероприятий, направленных на поддержку добровольческих (волонтерских) организаций и некоммерческих организаций в целях стимулирования их работы. </w:t>
      </w:r>
    </w:p>
    <w:p w:rsidR="00B52DE3" w:rsidRDefault="00DE73E3">
      <w:pPr>
        <w:pStyle w:val="afff1"/>
        <w:spacing w:line="360" w:lineRule="auto"/>
        <w:ind w:left="0" w:firstLine="708"/>
        <w:jc w:val="both"/>
        <w:rPr>
          <w:sz w:val="28"/>
          <w:szCs w:val="28"/>
        </w:rPr>
      </w:pPr>
      <w:r>
        <w:rPr>
          <w:color w:val="000000" w:themeColor="dark1"/>
          <w:sz w:val="28"/>
          <w:szCs w:val="28"/>
        </w:rPr>
        <w:t>Количественные показатели программы «Волонтеры культуры»</w:t>
      </w:r>
    </w:p>
    <w:p w:rsidR="00B52DE3" w:rsidRDefault="00B52DE3">
      <w:pPr>
        <w:pStyle w:val="afff1"/>
        <w:spacing w:line="360" w:lineRule="auto"/>
        <w:ind w:left="0" w:firstLine="708"/>
        <w:jc w:val="both"/>
        <w:rPr>
          <w:sz w:val="28"/>
          <w:szCs w:val="28"/>
        </w:rPr>
      </w:pPr>
    </w:p>
    <w:tbl>
      <w:tblPr>
        <w:tblW w:w="8779" w:type="dxa"/>
        <w:jc w:val="center"/>
        <w:tblLayout w:type="fixed"/>
        <w:tblLook w:val="04A0"/>
      </w:tblPr>
      <w:tblGrid>
        <w:gridCol w:w="986"/>
        <w:gridCol w:w="2257"/>
        <w:gridCol w:w="2977"/>
        <w:gridCol w:w="2559"/>
      </w:tblGrid>
      <w:tr w:rsidR="00B52DE3">
        <w:trPr>
          <w:jc w:val="center"/>
        </w:trPr>
        <w:tc>
          <w:tcPr>
            <w:tcW w:w="985"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1"/>
              <w:ind w:left="0"/>
              <w:jc w:val="center"/>
            </w:pPr>
            <w:r>
              <w:rPr>
                <w:color w:val="000000" w:themeColor="dark1"/>
                <w:sz w:val="27"/>
                <w:szCs w:val="27"/>
              </w:rPr>
              <w:t xml:space="preserve">№ </w:t>
            </w:r>
            <w:proofErr w:type="spellStart"/>
            <w:r>
              <w:rPr>
                <w:color w:val="000000" w:themeColor="dark1"/>
                <w:sz w:val="27"/>
                <w:szCs w:val="27"/>
              </w:rPr>
              <w:t>п</w:t>
            </w:r>
            <w:proofErr w:type="spellEnd"/>
            <w:r>
              <w:rPr>
                <w:color w:val="000000" w:themeColor="dark1"/>
                <w:sz w:val="27"/>
                <w:szCs w:val="27"/>
              </w:rPr>
              <w:t>/</w:t>
            </w:r>
            <w:proofErr w:type="spellStart"/>
            <w:r>
              <w:rPr>
                <w:color w:val="000000" w:themeColor="dark1"/>
                <w:sz w:val="27"/>
                <w:szCs w:val="27"/>
              </w:rPr>
              <w:t>п</w:t>
            </w:r>
            <w:proofErr w:type="spellEnd"/>
          </w:p>
        </w:tc>
        <w:tc>
          <w:tcPr>
            <w:tcW w:w="2257"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1"/>
              <w:ind w:left="0"/>
              <w:jc w:val="center"/>
            </w:pPr>
            <w:r>
              <w:rPr>
                <w:color w:val="000000" w:themeColor="dark1"/>
                <w:sz w:val="27"/>
                <w:szCs w:val="27"/>
              </w:rPr>
              <w:t>Период</w:t>
            </w:r>
          </w:p>
        </w:tc>
        <w:tc>
          <w:tcPr>
            <w:tcW w:w="2977"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1"/>
              <w:ind w:left="0"/>
              <w:jc w:val="center"/>
            </w:pPr>
            <w:r>
              <w:rPr>
                <w:color w:val="000000" w:themeColor="dark1"/>
                <w:sz w:val="27"/>
                <w:szCs w:val="27"/>
              </w:rPr>
              <w:t xml:space="preserve">Количество мероприятий, опубликованных на портале </w:t>
            </w:r>
            <w:proofErr w:type="spellStart"/>
            <w:r>
              <w:rPr>
                <w:color w:val="000000" w:themeColor="dark1"/>
                <w:sz w:val="27"/>
                <w:szCs w:val="27"/>
              </w:rPr>
              <w:t>ДОБРО.ру</w:t>
            </w:r>
            <w:proofErr w:type="spellEnd"/>
            <w:r>
              <w:rPr>
                <w:color w:val="000000" w:themeColor="dark1"/>
                <w:sz w:val="27"/>
                <w:szCs w:val="27"/>
              </w:rPr>
              <w:t>, ед.</w:t>
            </w:r>
          </w:p>
        </w:tc>
        <w:tc>
          <w:tcPr>
            <w:tcW w:w="2559"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1"/>
              <w:ind w:left="0"/>
              <w:jc w:val="center"/>
            </w:pPr>
            <w:r>
              <w:rPr>
                <w:color w:val="000000" w:themeColor="dark1"/>
                <w:sz w:val="27"/>
                <w:szCs w:val="27"/>
              </w:rPr>
              <w:t>Количество привлеченных волонтеров, чел.</w:t>
            </w:r>
          </w:p>
        </w:tc>
      </w:tr>
      <w:tr w:rsidR="00B52DE3">
        <w:trPr>
          <w:jc w:val="center"/>
        </w:trPr>
        <w:tc>
          <w:tcPr>
            <w:tcW w:w="985" w:type="dxa"/>
            <w:tcBorders>
              <w:top w:val="single" w:sz="4" w:space="0" w:color="000000"/>
              <w:left w:val="single" w:sz="4" w:space="0" w:color="000000"/>
              <w:bottom w:val="single" w:sz="4" w:space="0" w:color="000000"/>
              <w:right w:val="single" w:sz="4" w:space="0" w:color="000000"/>
            </w:tcBorders>
          </w:tcPr>
          <w:p w:rsidR="00B52DE3" w:rsidRDefault="00B52DE3">
            <w:pPr>
              <w:pStyle w:val="afff1"/>
              <w:numPr>
                <w:ilvl w:val="0"/>
                <w:numId w:val="9"/>
              </w:numPr>
              <w:ind w:left="0" w:firstLine="0"/>
              <w:jc w:val="both"/>
              <w:rPr>
                <w:color w:val="000000" w:themeColor="dark1"/>
                <w:sz w:val="27"/>
                <w:szCs w:val="27"/>
              </w:rPr>
            </w:pPr>
          </w:p>
        </w:tc>
        <w:tc>
          <w:tcPr>
            <w:tcW w:w="2257"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1"/>
              <w:ind w:left="0"/>
              <w:jc w:val="center"/>
            </w:pPr>
            <w:r>
              <w:rPr>
                <w:color w:val="000000" w:themeColor="dark1"/>
                <w:sz w:val="27"/>
                <w:szCs w:val="27"/>
              </w:rPr>
              <w:t>2024 г.</w:t>
            </w:r>
          </w:p>
        </w:tc>
        <w:tc>
          <w:tcPr>
            <w:tcW w:w="2977"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1"/>
              <w:ind w:left="0"/>
              <w:jc w:val="center"/>
            </w:pPr>
            <w:r>
              <w:rPr>
                <w:color w:val="000000" w:themeColor="dark1"/>
                <w:sz w:val="27"/>
                <w:szCs w:val="27"/>
              </w:rPr>
              <w:t>254</w:t>
            </w:r>
          </w:p>
        </w:tc>
        <w:tc>
          <w:tcPr>
            <w:tcW w:w="2559"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1"/>
              <w:ind w:left="0"/>
              <w:jc w:val="center"/>
            </w:pPr>
            <w:r>
              <w:rPr>
                <w:color w:val="000000" w:themeColor="dark1"/>
                <w:sz w:val="27"/>
                <w:szCs w:val="27"/>
              </w:rPr>
              <w:t>178</w:t>
            </w:r>
          </w:p>
        </w:tc>
      </w:tr>
      <w:tr w:rsidR="00B52DE3">
        <w:trPr>
          <w:jc w:val="center"/>
        </w:trPr>
        <w:tc>
          <w:tcPr>
            <w:tcW w:w="985" w:type="dxa"/>
            <w:tcBorders>
              <w:top w:val="single" w:sz="4" w:space="0" w:color="000000"/>
              <w:left w:val="single" w:sz="4" w:space="0" w:color="000000"/>
              <w:bottom w:val="single" w:sz="4" w:space="0" w:color="000000"/>
              <w:right w:val="single" w:sz="4" w:space="0" w:color="000000"/>
            </w:tcBorders>
          </w:tcPr>
          <w:p w:rsidR="00B52DE3" w:rsidRDefault="00B52DE3">
            <w:pPr>
              <w:pStyle w:val="afff1"/>
              <w:numPr>
                <w:ilvl w:val="0"/>
                <w:numId w:val="9"/>
              </w:numPr>
              <w:ind w:left="0" w:firstLine="0"/>
              <w:jc w:val="both"/>
              <w:rPr>
                <w:color w:val="000000" w:themeColor="dark1"/>
                <w:sz w:val="27"/>
                <w:szCs w:val="27"/>
              </w:rPr>
            </w:pPr>
          </w:p>
        </w:tc>
        <w:tc>
          <w:tcPr>
            <w:tcW w:w="2257"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1"/>
              <w:ind w:left="0"/>
              <w:jc w:val="center"/>
            </w:pPr>
            <w:r>
              <w:rPr>
                <w:color w:val="000000" w:themeColor="dark1"/>
                <w:sz w:val="27"/>
                <w:szCs w:val="27"/>
              </w:rPr>
              <w:t>2025 г.</w:t>
            </w:r>
          </w:p>
        </w:tc>
        <w:tc>
          <w:tcPr>
            <w:tcW w:w="2977"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1"/>
              <w:ind w:left="0"/>
              <w:jc w:val="center"/>
            </w:pPr>
            <w:r>
              <w:rPr>
                <w:color w:val="000000" w:themeColor="dark1"/>
                <w:sz w:val="27"/>
                <w:szCs w:val="27"/>
              </w:rPr>
              <w:t>287</w:t>
            </w:r>
          </w:p>
        </w:tc>
        <w:tc>
          <w:tcPr>
            <w:tcW w:w="2559"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1"/>
              <w:ind w:left="0"/>
              <w:jc w:val="center"/>
            </w:pPr>
            <w:r>
              <w:rPr>
                <w:color w:val="000000" w:themeColor="dark1"/>
                <w:sz w:val="27"/>
                <w:szCs w:val="27"/>
              </w:rPr>
              <w:t>194</w:t>
            </w:r>
          </w:p>
        </w:tc>
      </w:tr>
    </w:tbl>
    <w:p w:rsidR="00B52DE3" w:rsidRDefault="00B52DE3">
      <w:pPr>
        <w:spacing w:line="360" w:lineRule="auto"/>
        <w:ind w:firstLine="709"/>
        <w:jc w:val="both"/>
        <w:rPr>
          <w:rFonts w:ascii="Times New Roman" w:hAnsi="Times New Roman" w:cs="Times New Roman"/>
          <w:color w:val="000000" w:themeColor="dark1"/>
          <w:sz w:val="27"/>
          <w:szCs w:val="27"/>
        </w:rPr>
      </w:pP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 xml:space="preserve">Анализ реализации программы «Волонтеры культуры» в рамках национального проекта «Семья» в 2025 году показал, что показатель количества мероприятий, опубликованных на портал </w:t>
      </w:r>
      <w:proofErr w:type="spellStart"/>
      <w:r>
        <w:rPr>
          <w:rFonts w:ascii="Times New Roman" w:eastAsia="Times New Roman" w:hAnsi="Times New Roman" w:cs="Times New Roman"/>
          <w:color w:val="000000" w:themeColor="dark1"/>
          <w:sz w:val="28"/>
          <w:szCs w:val="28"/>
        </w:rPr>
        <w:t>ДОБРО.ру</w:t>
      </w:r>
      <w:proofErr w:type="spellEnd"/>
      <w:r>
        <w:rPr>
          <w:rFonts w:ascii="Times New Roman" w:eastAsia="Times New Roman" w:hAnsi="Times New Roman" w:cs="Times New Roman"/>
          <w:color w:val="000000" w:themeColor="dark1"/>
          <w:sz w:val="28"/>
          <w:szCs w:val="28"/>
        </w:rPr>
        <w:t xml:space="preserve"> увеличился на 33 мероприятия.</w:t>
      </w:r>
    </w:p>
    <w:p w:rsidR="00B52DE3" w:rsidRDefault="00B52DE3">
      <w:pPr>
        <w:widowControl w:val="0"/>
        <w:spacing w:after="0" w:line="240" w:lineRule="auto"/>
        <w:jc w:val="center"/>
        <w:rPr>
          <w:rFonts w:ascii="Times New Roman" w:eastAsia="Times New Roman" w:hAnsi="Times New Roman" w:cs="Times New Roman"/>
          <w:b/>
          <w:bCs/>
          <w:sz w:val="28"/>
          <w:szCs w:val="28"/>
        </w:rPr>
      </w:pPr>
    </w:p>
    <w:p w:rsidR="00B52DE3" w:rsidRDefault="00B52DE3">
      <w:pPr>
        <w:pStyle w:val="1fe"/>
        <w:keepNext w:val="0"/>
        <w:keepLines w:val="0"/>
        <w:spacing w:before="0" w:line="240" w:lineRule="auto"/>
        <w:rPr>
          <w:rFonts w:eastAsia="Times New Roman"/>
        </w:rPr>
      </w:pPr>
    </w:p>
    <w:p w:rsidR="00B52DE3" w:rsidRDefault="00DE73E3">
      <w:pPr>
        <w:pStyle w:val="1fe"/>
        <w:keepNext w:val="0"/>
        <w:keepLines w:val="0"/>
        <w:spacing w:before="0" w:line="240" w:lineRule="auto"/>
        <w:rPr>
          <w:rFonts w:eastAsia="Times New Roman"/>
        </w:rPr>
      </w:pPr>
      <w:bookmarkStart w:id="88" w:name="_Toc83"/>
      <w:r>
        <w:rPr>
          <w:rFonts w:eastAsia="Times New Roman"/>
          <w:lang w:eastAsia="ru-RU"/>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bookmarkEnd w:id="88"/>
    </w:p>
    <w:p w:rsidR="00B52DE3" w:rsidRDefault="00B52DE3">
      <w:pPr>
        <w:widowControl w:val="0"/>
        <w:spacing w:after="0" w:line="360" w:lineRule="auto"/>
        <w:rPr>
          <w:rFonts w:ascii="Times New Roman" w:hAnsi="Times New Roman" w:cs="Times New Roman"/>
          <w:b/>
          <w:sz w:val="28"/>
          <w:szCs w:val="28"/>
        </w:rPr>
      </w:pP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Благодаря интенсивной работе работников культуры наблюдается повышение интереса к отечественной истории, национальной культуре, утраченным традициям, истокам духовной культуры, фольклору, народным ремеслам. МБУК ЦКС УГО ПК ведется систематическая работа по сохранению и популяризации нематериального культурного наследия: проводятся праздники народного календаря, фестиваль национальных культур, работают вокальные ансамбли и др.</w:t>
      </w:r>
      <w:r>
        <w:rPr>
          <w:rFonts w:ascii="Times New Roman" w:eastAsia="Times New Roman" w:hAnsi="Times New Roman" w:cs="Times New Roman"/>
          <w:bCs/>
          <w:sz w:val="28"/>
          <w:szCs w:val="28"/>
          <w:lang w:eastAsia="ru-RU"/>
        </w:rPr>
        <w:t xml:space="preserve"> Достойное внимание уделяется сохранению и популяризации культуры казачества; немаловажен интерес мастеров и ремесленников к использованию современных технологий, успешно развивается направление жанровых сценок.</w:t>
      </w:r>
      <w:r>
        <w:rPr>
          <w:rFonts w:ascii="Times New Roman" w:eastAsia="Times New Roman" w:hAnsi="Times New Roman" w:cs="Times New Roman"/>
          <w:sz w:val="28"/>
          <w:szCs w:val="28"/>
          <w:lang w:eastAsia="ru-RU"/>
        </w:rPr>
        <w:t xml:space="preserve">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lang w:eastAsia="ru-RU"/>
        </w:rPr>
        <w:t>За отчетный период в целях сохранения культурных ценностей и бережного отношения к русским традициям в МБУК ЦКС УГО ПК были проведены театрализованные фольклорные праздники и народные гулянья, посвященные Рождеству Христова, Крещению, Масленице, Дню Святой Троицы, Пасхе, Дню Ивана Купала и др.:</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Центр народного творчества (далее – ЦНТ) МБУК ЦКС УГО ПК выполняет функцию координации деятельности обособленных подразделений учреждения по направлению сохранения, возрождения традиций любительского декоративно-прикладного творчества и ремесленничества на территории УГО. Центр так же координирует деятельность по данному направлению с другими учреждениями культуры и творческими коллективами, национальными культурными общественными объединениями.</w:t>
      </w:r>
    </w:p>
    <w:p w:rsidR="00B52DE3" w:rsidRDefault="00DE73E3">
      <w:pPr>
        <w:tabs>
          <w:tab w:val="left" w:pos="56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ЦНТ стал единственным центром на территории УГО, реализующим выставочно-образовательную функцию для разновозрастных групп населения. В деятельности организации особое внимание уделяется социально-значимому направлению. Активно используются разнообразные формы работы с людьми с ограниченными возможностями здоровья, </w:t>
      </w:r>
      <w:r>
        <w:rPr>
          <w:rFonts w:ascii="Times New Roman" w:eastAsia="Times New Roman" w:hAnsi="Times New Roman" w:cs="Times New Roman"/>
          <w:sz w:val="28"/>
          <w:szCs w:val="28"/>
          <w:lang w:eastAsia="ru-RU"/>
        </w:rPr>
        <w:lastRenderedPageBreak/>
        <w:t>реабилитационными центрами, общественными объединениями, пенсионерами.</w:t>
      </w:r>
    </w:p>
    <w:p w:rsidR="00B52DE3" w:rsidRDefault="00DE73E3">
      <w:pPr>
        <w:tabs>
          <w:tab w:val="left" w:pos="56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За отчетный период функционировало 9 клубных формирований. </w:t>
      </w:r>
    </w:p>
    <w:p w:rsidR="00B52DE3" w:rsidRDefault="00DE73E3">
      <w:pPr>
        <w:tabs>
          <w:tab w:val="left" w:pos="56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Из них для детей до 14 лет – 7 клубных формирования, </w:t>
      </w:r>
      <w:r>
        <w:rPr>
          <w:rFonts w:ascii="Times New Roman" w:eastAsia="Times New Roman" w:hAnsi="Times New Roman" w:cs="Times New Roman"/>
          <w:sz w:val="28"/>
          <w:szCs w:val="28"/>
          <w:lang w:eastAsia="ru-RU"/>
        </w:rPr>
        <w:br/>
        <w:t>в них детей – 111 человек. Наиболее востребованными являются формирования по декоративно – прикладному творчеству и живописи с количеством участников – 40 человека.</w:t>
      </w:r>
    </w:p>
    <w:p w:rsidR="00B52DE3" w:rsidRDefault="00DE73E3">
      <w:pPr>
        <w:tabs>
          <w:tab w:val="left" w:pos="56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 ЦНТ ведется реестр традиционного народного художественного творчества, в котором зарегистрировано: 245 человек, мастеров декоративно-прикладного творчества и изобразительного искусства, работающих на территории Уссурийского городского округа.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За отчетный период</w:t>
      </w:r>
      <w:r>
        <w:rPr>
          <w:rFonts w:ascii="Times New Roman" w:eastAsia="Times New Roman" w:hAnsi="Times New Roman" w:cs="Times New Roman"/>
          <w:sz w:val="28"/>
          <w:szCs w:val="28"/>
          <w:lang w:eastAsia="ru-RU"/>
        </w:rPr>
        <w:t xml:space="preserve"> работа учреждения проходила через разные формы взаимодействия с учреждениями образования, национально-культурными общественными объединениями. Состоялись конкурсы декоративно-прикладного творчества: «Масленичный сувенир», «Фронтовая хроника», посвященный 80-ой годовщине Победы в Великой Отечественной войне 1941-1945 годов, «Историческая архитектура Уссурийска» мероприятие было посвящено празднованию 159-ой годовщине со дня основания города Уссурийска, «Сказка на елке», «Теплый Новый год» в рамках празднования Нового 2026 года в Уссурийском городском округе. </w:t>
      </w:r>
    </w:p>
    <w:p w:rsidR="00B52DE3" w:rsidRDefault="00DE73E3">
      <w:pPr>
        <w:tabs>
          <w:tab w:val="left" w:pos="56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27 июля 2025 года на территории Уссурийского городского округа в рамках мероприятий, посвящённых празднованию международного дня тигра, мастерами были проведены тематические мастер-классы для разновозрастной категории участников.</w:t>
      </w:r>
    </w:p>
    <w:p w:rsidR="00B52DE3" w:rsidRDefault="00DE73E3">
      <w:pPr>
        <w:tabs>
          <w:tab w:val="left" w:pos="56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Сотрудниками центра народного творчества и участниками клубных формирований было проведено – 36 мастер-классов, из них по муниципальному заданию мастер-классов – 26, в которых приняло участие 2354 человека (из них 2354 дети до 14 лет). А также в течение года были </w:t>
      </w:r>
      <w:r>
        <w:rPr>
          <w:rFonts w:ascii="Times New Roman" w:eastAsia="Times New Roman" w:hAnsi="Times New Roman" w:cs="Times New Roman"/>
          <w:sz w:val="28"/>
          <w:szCs w:val="28"/>
          <w:lang w:eastAsia="ru-RU"/>
        </w:rPr>
        <w:lastRenderedPageBreak/>
        <w:t xml:space="preserve">проведены мастер – классы на платной основе в количестве –                                 27 мероприятий (всего посетило 322 человек – дети до 14 лет). </w:t>
      </w:r>
    </w:p>
    <w:p w:rsidR="00B52DE3" w:rsidRDefault="00DE73E3">
      <w:pPr>
        <w:tabs>
          <w:tab w:val="left" w:pos="56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Значительное место в ЦНТ занимает выставочная деятельность, которая отражает направление самодеятельного народного творчества на территории УГО. </w:t>
      </w:r>
    </w:p>
    <w:p w:rsidR="00B52DE3" w:rsidRDefault="00DE73E3">
      <w:pPr>
        <w:tabs>
          <w:tab w:val="left" w:pos="56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Так, состоялись фотовыставки: «Тебе мой край родной», приуроченная ко Дню Приморского края и включающая работы самодеятельных и профессиональных фотографов, например, Дмитрия </w:t>
      </w:r>
      <w:proofErr w:type="spellStart"/>
      <w:r>
        <w:rPr>
          <w:rFonts w:ascii="Times New Roman" w:eastAsia="Times New Roman" w:hAnsi="Times New Roman" w:cs="Times New Roman"/>
          <w:color w:val="000000"/>
          <w:sz w:val="28"/>
          <w:szCs w:val="28"/>
          <w:lang w:eastAsia="ru-RU"/>
        </w:rPr>
        <w:t>Сигиды</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Николайчук</w:t>
      </w:r>
      <w:proofErr w:type="spellEnd"/>
      <w:r>
        <w:rPr>
          <w:rFonts w:ascii="Times New Roman" w:eastAsia="Times New Roman" w:hAnsi="Times New Roman" w:cs="Times New Roman"/>
          <w:color w:val="000000"/>
          <w:sz w:val="28"/>
          <w:szCs w:val="28"/>
          <w:lang w:eastAsia="ru-RU"/>
        </w:rPr>
        <w:t xml:space="preserve"> Галины; «Тепло рук материнских», посвящённая Дню матери.</w:t>
      </w:r>
    </w:p>
    <w:p w:rsidR="00B52DE3" w:rsidRDefault="00DE73E3">
      <w:pPr>
        <w:tabs>
          <w:tab w:val="left" w:pos="56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Также на постоянной основе в центре народного творчества проводятся концертные программы для членов Всероссийского общества слепых и всероссийского общества инвалидов всего за 2025 год – 17 концертных программ, в которых приняло участие 680 человек (из них 140 дети                           до 14 лет). </w:t>
      </w:r>
    </w:p>
    <w:p w:rsidR="00B52DE3" w:rsidRDefault="00DE73E3">
      <w:pPr>
        <w:tabs>
          <w:tab w:val="left" w:pos="56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Мастера ДПТ УГО активно участвуют в ярмарках-выставках, посвященных знаменательным событиям УГО: День семьи, любви и верности; Международный день защиты детей; День России; День Российского флага; День города, День тигра; Новый год. Уже стало традицией, когда мастера декоративно - прикладного творчества принимают участие в комплексных мероприятиях, посвященных Новому году. Проводились выставки - ярмарки, мастер – классы по изготовлению праздничных поделок.  ЦНТ тесно взаимодействует с Приморским краевым Центром народной культуры в направлении декоративно -</w:t>
      </w:r>
      <w:r w:rsidR="006D39D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прикладного творчества, с национально - культурными общественными объединениями для расширения культурного пространства, для принятия единых целей задач возрождения, сохранения и популяризации народного творчества.</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 xml:space="preserve">В рамках развития и пропаганды народных праздников, обычаев, обрядов, особенностей музыкального, песенного и танцевального искусства, народного творчества, </w:t>
      </w:r>
      <w:r>
        <w:rPr>
          <w:rFonts w:ascii="Times New Roman" w:eastAsia="Times New Roman" w:hAnsi="Times New Roman" w:cs="Times New Roman"/>
          <w:color w:val="000000" w:themeColor="dark1"/>
          <w:sz w:val="28"/>
          <w:szCs w:val="28"/>
          <w:lang w:eastAsia="ru-RU"/>
        </w:rPr>
        <w:t xml:space="preserve">МАУК «МЦКД «Горизонт» УГО ПК </w:t>
      </w:r>
      <w:r>
        <w:rPr>
          <w:rFonts w:ascii="Times New Roman" w:eastAsia="Times New Roman" w:hAnsi="Times New Roman" w:cs="Times New Roman"/>
          <w:color w:val="000000" w:themeColor="dark1"/>
          <w:sz w:val="28"/>
          <w:szCs w:val="28"/>
        </w:rPr>
        <w:t xml:space="preserve">были проведены </w:t>
      </w:r>
      <w:r>
        <w:rPr>
          <w:rFonts w:ascii="Times New Roman" w:eastAsia="Times New Roman" w:hAnsi="Times New Roman" w:cs="Times New Roman"/>
          <w:color w:val="000000" w:themeColor="dark1"/>
          <w:sz w:val="28"/>
          <w:szCs w:val="28"/>
        </w:rPr>
        <w:lastRenderedPageBreak/>
        <w:t>праздники народного календаря, фольклорные посиделки, различные тематические программы, участие в выставках декоративно–прикладного творчества, проведены мастер–классы по изготовлению изделий из разного материала и различными формами работы.</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Сотрудники учреждения большое значение уделяют популяризации и проведения традиционных народных праздников, таких как: праздник «Семьи, любви и верности», проводы русской зимы и другие.</w:t>
      </w:r>
    </w:p>
    <w:p w:rsidR="00B52DE3" w:rsidRDefault="00DE73E3">
      <w:pPr>
        <w:pStyle w:val="afff3"/>
        <w:tabs>
          <w:tab w:val="left" w:pos="993"/>
        </w:tabs>
        <w:spacing w:before="0"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 xml:space="preserve">В рамках общегородского массового гуляния «Масленица» проведены мероприятия: </w:t>
      </w:r>
    </w:p>
    <w:p w:rsidR="00B52DE3" w:rsidRDefault="00DE73E3">
      <w:pPr>
        <w:pStyle w:val="afff3"/>
        <w:spacing w:before="0"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02 марта 2025 года на центральной площади города прошло общегородское мероприятие Масленица, в рамках которой для жителей и гостей города творческие коллективы учреждения организовали концерт, игровые площадки и провели тематические мастер-классы по декоративно-прикладному творчеству. Общий охват составил более 11000 человек.</w:t>
      </w:r>
    </w:p>
    <w:p w:rsidR="00B52DE3" w:rsidRDefault="00DE73E3">
      <w:pPr>
        <w:pStyle w:val="afff3"/>
        <w:spacing w:before="0"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 течение «масленичной» недели было проведено 4 мероприятия на благоустроенных общественных территориях. Общий охват составил около 16000 человек.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Открытый фестиваль-конкурс декоративно-прикладного творчества и народных промыслов «Капель» традиционно проводится на территории Уссурийского городского округа с целью популяризации народного искусства и сохранения культурных традиций, памятников истории и культуры, этнокультурного многообразия, культурной самобытности всех народов и этнических общностей, а также в рамках Дня славянской письменности и культуры. В 2025 г. он прошел 25 мая. В 2025 году в рамках фестиваля работали совершенно новые тематические площадки, которые привлекли большое количество участников. Охват составил 3400 человек.</w:t>
      </w:r>
    </w:p>
    <w:p w:rsidR="00B52DE3" w:rsidRDefault="00DE73E3">
      <w:pPr>
        <w:tabs>
          <w:tab w:val="left" w:pos="851"/>
          <w:tab w:val="left" w:pos="1134"/>
        </w:tabs>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dark1"/>
          <w:sz w:val="28"/>
          <w:szCs w:val="28"/>
        </w:rPr>
        <w:t xml:space="preserve">В рамках популяризации народной культуры Образцовым хором русской песни «Славица» и Народного молодежного ансамбля «Верея» в 2025 году были проведены тиражные концерты и мероприятия с охватом </w:t>
      </w:r>
      <w:r>
        <w:rPr>
          <w:rFonts w:ascii="Times New Roman" w:eastAsia="Times New Roman" w:hAnsi="Times New Roman" w:cs="Times New Roman"/>
          <w:color w:val="000000" w:themeColor="dark1"/>
          <w:sz w:val="28"/>
          <w:szCs w:val="28"/>
        </w:rPr>
        <w:lastRenderedPageBreak/>
        <w:t xml:space="preserve">1750 человек. А также был представлен </w:t>
      </w:r>
      <w:r>
        <w:rPr>
          <w:rFonts w:ascii="Times New Roman" w:eastAsia="Times New Roman" w:hAnsi="Times New Roman" w:cs="Times New Roman"/>
          <w:color w:val="000000"/>
          <w:sz w:val="28"/>
          <w:szCs w:val="28"/>
        </w:rPr>
        <w:t>проект «Хорошее настроение» Заслуженного коллектива Приморского края Образцового ансамбля танца «Карнавал» и Образцового хора русской песни «Славица» и проект «Цвета Войны» Заслуженного коллектива Приморского края Образцового ансамбля танца «Карнавал» и Народного молодежного ансамбля «Верея».</w:t>
      </w:r>
    </w:p>
    <w:p w:rsidR="00B52DE3" w:rsidRDefault="00B52DE3">
      <w:pPr>
        <w:tabs>
          <w:tab w:val="left" w:pos="851"/>
          <w:tab w:val="left" w:pos="1134"/>
        </w:tabs>
        <w:spacing w:line="360" w:lineRule="auto"/>
        <w:jc w:val="both"/>
        <w:rPr>
          <w:rFonts w:ascii="Times New Roman" w:hAnsi="Times New Roman" w:cs="Times New Roman"/>
        </w:rPr>
      </w:pPr>
    </w:p>
    <w:p w:rsidR="00B52DE3" w:rsidRDefault="00DE73E3">
      <w:pPr>
        <w:pStyle w:val="1fe"/>
        <w:keepNext w:val="0"/>
        <w:keepLines w:val="0"/>
        <w:spacing w:before="0" w:line="240" w:lineRule="auto"/>
      </w:pPr>
      <w:bookmarkStart w:id="89" w:name="_Toc84"/>
      <w:r>
        <w:rPr>
          <w:rFonts w:eastAsia="Times New Roman"/>
          <w:lang w:eastAsia="ru-RU"/>
        </w:rPr>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bookmarkEnd w:id="89"/>
    </w:p>
    <w:p w:rsidR="00B52DE3" w:rsidRDefault="00B52DE3">
      <w:pPr>
        <w:widowControl w:val="0"/>
        <w:spacing w:after="0" w:line="240" w:lineRule="auto"/>
        <w:jc w:val="center"/>
        <w:rPr>
          <w:rFonts w:ascii="Times New Roman" w:hAnsi="Times New Roman" w:cs="Times New Roman"/>
          <w:b/>
          <w:sz w:val="28"/>
          <w:szCs w:val="28"/>
        </w:rPr>
      </w:pP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На территории Уссурийского городского округа Приморского края расположено 522 объекта культурного наследия. Из них – 286 памятников федерального значения (археология), 236 объектов культурного наследия регионального значения, в числе которых 178 памятников архитектуры, 46 мемориалов и захоронений.</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 xml:space="preserve">В собственности Уссурийского городского округа Приморского края находится 59 зданий и 47 памятников и захоронений (в т.ч. не являющихся объектами культурного наследия). На территории Уссурийского городского округа Приморского края находится 56 военно-мемориальных объектов (памятников и захоронений).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В оперативном управлении МБУК «Централизованная клубная система» УГО ПК находится 11 памятников, расположенных на сельских территориях Уссурийского городского округа Приморского края, в</w:t>
      </w:r>
      <w:r>
        <w:rPr>
          <w:rFonts w:ascii="Times New Roman" w:eastAsia="Times New Roman" w:hAnsi="Times New Roman" w:cs="Times New Roman"/>
          <w:color w:val="000000" w:themeColor="dark1"/>
          <w:sz w:val="28"/>
          <w:szCs w:val="28"/>
        </w:rPr>
        <w:t xml:space="preserve"> оперативном </w:t>
      </w:r>
      <w:r>
        <w:rPr>
          <w:rFonts w:ascii="Times New Roman" w:eastAsia="Times New Roman" w:hAnsi="Times New Roman" w:cs="Times New Roman"/>
          <w:sz w:val="28"/>
          <w:szCs w:val="28"/>
        </w:rPr>
        <w:t xml:space="preserve">управлении музея находятся 24 памятников и памятных знаков, 20 из которых являются объектами культурного наследия. В 2025-м году список памятников, закрепленных за МБУК «Уссурийский музей», пополнился новым объектом, которым стал памятник рабочим </w:t>
      </w:r>
      <w:r>
        <w:rPr>
          <w:rFonts w:ascii="Times New Roman" w:eastAsia="Times New Roman" w:hAnsi="Times New Roman" w:cs="Times New Roman"/>
          <w:sz w:val="28"/>
          <w:szCs w:val="28"/>
        </w:rPr>
        <w:lastRenderedPageBreak/>
        <w:t xml:space="preserve">механического завода, погибшим в годы Великой Отечественной войны 1941-1945 гг., расположенный по адресу: г. Уссурийск, ул. Московская, 18.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течение года проводились работы по благоустройству, учету и правовому сопровождению памятников и памятных знаков, прикрепленных к музею. Осуществлялась работа по ремонту и благоустройству памятников и прилегающих к ним территорий: </w:t>
      </w:r>
    </w:p>
    <w:p w:rsidR="00B52DE3" w:rsidRDefault="00B52DE3">
      <w:pPr>
        <w:spacing w:after="0" w:line="360" w:lineRule="auto"/>
        <w:jc w:val="both"/>
        <w:rPr>
          <w:rFonts w:ascii="Times New Roman" w:hAnsi="Times New Roman" w:cs="Times New Roman"/>
          <w:sz w:val="27"/>
          <w:szCs w:val="27"/>
        </w:rPr>
      </w:pPr>
    </w:p>
    <w:tbl>
      <w:tblPr>
        <w:tblW w:w="9101" w:type="dxa"/>
        <w:tblInd w:w="109" w:type="dxa"/>
        <w:tblLayout w:type="fixed"/>
        <w:tblLook w:val="04A0"/>
      </w:tblPr>
      <w:tblGrid>
        <w:gridCol w:w="668"/>
        <w:gridCol w:w="3188"/>
        <w:gridCol w:w="5245"/>
      </w:tblGrid>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w:t>
            </w:r>
            <w:proofErr w:type="spellEnd"/>
            <w:r>
              <w:rPr>
                <w:rFonts w:ascii="Times New Roman" w:eastAsia="Times New Roman" w:hAnsi="Times New Roman" w:cs="Times New Roman"/>
                <w:b/>
                <w:sz w:val="28"/>
                <w:szCs w:val="28"/>
              </w:rPr>
              <w:t>/</w:t>
            </w:r>
            <w:proofErr w:type="spellStart"/>
            <w:r>
              <w:rPr>
                <w:rFonts w:ascii="Times New Roman" w:eastAsia="Times New Roman" w:hAnsi="Times New Roman" w:cs="Times New Roman"/>
                <w:b/>
                <w:sz w:val="28"/>
                <w:szCs w:val="28"/>
              </w:rPr>
              <w:t>п</w:t>
            </w:r>
            <w:proofErr w:type="spellEnd"/>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b/>
                <w:sz w:val="28"/>
                <w:szCs w:val="28"/>
              </w:rPr>
              <w:t>Наименование объекта</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ind w:right="-250"/>
              <w:jc w:val="center"/>
              <w:rPr>
                <w:rFonts w:ascii="Times New Roman" w:hAnsi="Times New Roman" w:cs="Times New Roman"/>
                <w:sz w:val="28"/>
                <w:szCs w:val="28"/>
              </w:rPr>
            </w:pPr>
            <w:r>
              <w:rPr>
                <w:rFonts w:ascii="Times New Roman" w:eastAsia="Times New Roman" w:hAnsi="Times New Roman" w:cs="Times New Roman"/>
                <w:b/>
                <w:sz w:val="28"/>
                <w:szCs w:val="28"/>
              </w:rPr>
              <w:t>Проводимые работы</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Памятник </w:t>
            </w:r>
            <w:proofErr w:type="spellStart"/>
            <w:r>
              <w:rPr>
                <w:rFonts w:ascii="Times New Roman" w:eastAsia="Times New Roman" w:hAnsi="Times New Roman" w:cs="Times New Roman"/>
                <w:sz w:val="28"/>
                <w:szCs w:val="28"/>
              </w:rPr>
              <w:t>уссурийцам</w:t>
            </w:r>
            <w:proofErr w:type="spellEnd"/>
            <w:r>
              <w:rPr>
                <w:rFonts w:ascii="Times New Roman" w:eastAsia="Times New Roman" w:hAnsi="Times New Roman" w:cs="Times New Roman"/>
                <w:sz w:val="28"/>
                <w:szCs w:val="28"/>
              </w:rPr>
              <w:t>, погибшим в годы Великой Отечественной Войны 1941 – 1945 гг.</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В 2025-м году на мемориальном объекте «Памятник жителям г. Уссурийска, погибшим на фронте ВОВ». № реестра ОКН 251711165020005, № кадастровый 25:34:017001:15691, адрес: Приморский край, г. Уссурийск, ул. Краснознаменная, 80 проводились следующие работы:</w:t>
            </w:r>
          </w:p>
          <w:p w:rsidR="00B52DE3" w:rsidRDefault="00DE73E3">
            <w:pPr>
              <w:numPr>
                <w:ilvl w:val="0"/>
                <w:numId w:val="10"/>
              </w:numPr>
              <w:spacing w:after="0" w:line="240" w:lineRule="auto"/>
              <w:ind w:left="33" w:firstLine="283"/>
              <w:contextualSpacing/>
              <w:rPr>
                <w:rFonts w:ascii="Times New Roman" w:hAnsi="Times New Roman" w:cs="Times New Roman"/>
                <w:sz w:val="28"/>
                <w:szCs w:val="28"/>
              </w:rPr>
            </w:pPr>
            <w:r>
              <w:rPr>
                <w:rFonts w:ascii="Times New Roman" w:eastAsia="Times New Roman" w:hAnsi="Times New Roman" w:cs="Times New Roman"/>
                <w:sz w:val="28"/>
                <w:szCs w:val="28"/>
              </w:rPr>
              <w:t>Регулярная помывка памятника и уборка территории мемориала, приуроченная к праздничным датам и торжественным событиям (возложение цветов к Вечному Огню, митинги) с общей стоимостью выполненных работ в сумме 140000,00 рублей.</w:t>
            </w:r>
          </w:p>
          <w:p w:rsidR="00B52DE3" w:rsidRDefault="00DE73E3">
            <w:pPr>
              <w:numPr>
                <w:ilvl w:val="0"/>
                <w:numId w:val="10"/>
              </w:numPr>
              <w:spacing w:after="0" w:line="240" w:lineRule="auto"/>
              <w:ind w:left="33" w:firstLine="283"/>
              <w:contextualSpacing/>
              <w:rPr>
                <w:rFonts w:ascii="Times New Roman" w:hAnsi="Times New Roman" w:cs="Times New Roman"/>
                <w:sz w:val="28"/>
                <w:szCs w:val="28"/>
              </w:rPr>
            </w:pPr>
            <w:r>
              <w:rPr>
                <w:rFonts w:ascii="Times New Roman" w:eastAsia="Times New Roman" w:hAnsi="Times New Roman" w:cs="Times New Roman"/>
                <w:sz w:val="28"/>
                <w:szCs w:val="28"/>
              </w:rPr>
              <w:t>Поставка природного газа на безвозмездной основе.</w:t>
            </w:r>
          </w:p>
          <w:p w:rsidR="00B52DE3" w:rsidRDefault="00DE73E3">
            <w:pPr>
              <w:numPr>
                <w:ilvl w:val="0"/>
                <w:numId w:val="10"/>
              </w:numPr>
              <w:spacing w:after="0" w:line="240" w:lineRule="auto"/>
              <w:ind w:left="33" w:firstLine="283"/>
              <w:contextualSpacing/>
              <w:rPr>
                <w:rFonts w:ascii="Times New Roman" w:hAnsi="Times New Roman" w:cs="Times New Roman"/>
                <w:sz w:val="28"/>
                <w:szCs w:val="28"/>
              </w:rPr>
            </w:pPr>
            <w:r>
              <w:rPr>
                <w:rFonts w:ascii="Times New Roman" w:eastAsia="Times New Roman" w:hAnsi="Times New Roman" w:cs="Times New Roman"/>
                <w:sz w:val="28"/>
                <w:szCs w:val="28"/>
              </w:rPr>
              <w:t>Подключение природного газа к мемориальному комплексу с общей стоимостью выполненных работ на сумму 421770,00 рублей.</w:t>
            </w:r>
          </w:p>
          <w:p w:rsidR="00B52DE3" w:rsidRDefault="00DE73E3">
            <w:pPr>
              <w:numPr>
                <w:ilvl w:val="0"/>
                <w:numId w:val="10"/>
              </w:numPr>
              <w:spacing w:after="0" w:line="240" w:lineRule="auto"/>
              <w:ind w:left="33" w:firstLine="283"/>
              <w:contextualSpacing/>
              <w:rPr>
                <w:rFonts w:ascii="Times New Roman" w:hAnsi="Times New Roman" w:cs="Times New Roman"/>
                <w:sz w:val="28"/>
                <w:szCs w:val="28"/>
              </w:rPr>
            </w:pPr>
            <w:r>
              <w:rPr>
                <w:rFonts w:ascii="Times New Roman" w:eastAsia="Times New Roman" w:hAnsi="Times New Roman" w:cs="Times New Roman"/>
                <w:sz w:val="28"/>
                <w:szCs w:val="28"/>
              </w:rPr>
              <w:t>Замена уличной видеокамеры системы видеонаблюдения мемориального комплекса. Общая стоимость 60000,00 рублей.</w:t>
            </w:r>
          </w:p>
          <w:p w:rsidR="00B52DE3" w:rsidRDefault="00DE73E3">
            <w:pPr>
              <w:numPr>
                <w:ilvl w:val="0"/>
                <w:numId w:val="10"/>
              </w:numPr>
              <w:spacing w:after="0" w:line="240" w:lineRule="auto"/>
              <w:ind w:left="33" w:firstLine="283"/>
              <w:contextualSpacing/>
              <w:rPr>
                <w:rFonts w:ascii="Times New Roman" w:hAnsi="Times New Roman" w:cs="Times New Roman"/>
                <w:sz w:val="28"/>
                <w:szCs w:val="28"/>
              </w:rPr>
            </w:pPr>
            <w:r>
              <w:rPr>
                <w:rFonts w:ascii="Times New Roman" w:eastAsia="Times New Roman" w:hAnsi="Times New Roman" w:cs="Times New Roman"/>
                <w:sz w:val="28"/>
                <w:szCs w:val="28"/>
              </w:rPr>
              <w:t xml:space="preserve">В 2025-м году капитальный ремонт прошли пилоны и стелы мемориального комплекса. В ходе работ были устранены щели поверхностей с удалением старого покрытия, пыли и грязи, с последующим нанесением нового слоя штукатурки и </w:t>
            </w:r>
            <w:r>
              <w:rPr>
                <w:rFonts w:ascii="Times New Roman" w:eastAsia="Times New Roman" w:hAnsi="Times New Roman" w:cs="Times New Roman"/>
                <w:sz w:val="28"/>
                <w:szCs w:val="28"/>
              </w:rPr>
              <w:lastRenderedPageBreak/>
              <w:t>последующей окраски. Общая стоимость работ по обновлению 318134,33 рубля.</w:t>
            </w:r>
          </w:p>
          <w:p w:rsidR="00B52DE3" w:rsidRDefault="00DE73E3">
            <w:pPr>
              <w:numPr>
                <w:ilvl w:val="0"/>
                <w:numId w:val="10"/>
              </w:numPr>
              <w:spacing w:after="0" w:line="240" w:lineRule="auto"/>
              <w:ind w:left="33" w:firstLine="283"/>
              <w:contextualSpacing/>
              <w:rPr>
                <w:rFonts w:ascii="Times New Roman" w:hAnsi="Times New Roman" w:cs="Times New Roman"/>
                <w:sz w:val="28"/>
                <w:szCs w:val="28"/>
              </w:rPr>
            </w:pPr>
            <w:r>
              <w:rPr>
                <w:rFonts w:ascii="Times New Roman" w:eastAsia="Times New Roman" w:hAnsi="Times New Roman" w:cs="Times New Roman"/>
                <w:sz w:val="28"/>
                <w:szCs w:val="28"/>
              </w:rPr>
              <w:t>Проведен монтаж архитектурной подсветки основных элементов мемориального комплекса. Установлена автоматическая система управления наружного освещения памятника – АСУНО. Общая стоимость работ по изготовлению проектной документации и последующим монтажом системы искусственного освещения памятника – 1050000, рублей.</w:t>
            </w:r>
          </w:p>
          <w:p w:rsidR="00B52DE3" w:rsidRDefault="00DE73E3">
            <w:pPr>
              <w:numPr>
                <w:ilvl w:val="0"/>
                <w:numId w:val="10"/>
              </w:numPr>
              <w:spacing w:after="0" w:line="240" w:lineRule="auto"/>
              <w:ind w:left="33" w:firstLine="283"/>
              <w:contextualSpacing/>
              <w:rPr>
                <w:rFonts w:ascii="Times New Roman" w:hAnsi="Times New Roman" w:cs="Times New Roman"/>
                <w:sz w:val="28"/>
                <w:szCs w:val="28"/>
              </w:rPr>
            </w:pPr>
            <w:r>
              <w:rPr>
                <w:rFonts w:ascii="Times New Roman" w:eastAsia="Times New Roman" w:hAnsi="Times New Roman" w:cs="Times New Roman"/>
                <w:sz w:val="28"/>
                <w:szCs w:val="28"/>
              </w:rPr>
              <w:t>Выполнены работы по демонтажу и последующей установке приборов освещения на фамильную стелу памятника с общей стоимостью работ на сумму 18000,00 руб.</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2.</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Мемориал в честь воинов-автомобилистов, погибших в ВОВ. № реестра ОКН 251711294700005, № кадастровый 25:34:016801:4266, адрес: Приморский край, г. Уссурийск, ул. Ленинградская, 53В –примерно в 120 м на юг от ориентира.</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Капитальный ремонт стелы памятника «Мемориал в честь воинов-автомобилистов, погибших в ВОВ». № реестра ОКН 251711294700005, № кадастровый 25:34:016801:4266, адрес: Приморский край, г. Уссурийск, ул. Ленинградская, 53В –примерно в 120 м на юг от ориентира.</w:t>
            </w:r>
          </w:p>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На объекте были выполнены следующие работы:</w:t>
            </w:r>
          </w:p>
          <w:p w:rsidR="00B52DE3" w:rsidRDefault="00DE73E3">
            <w:pPr>
              <w:numPr>
                <w:ilvl w:val="0"/>
                <w:numId w:val="11"/>
              </w:numPr>
              <w:spacing w:after="0" w:line="240" w:lineRule="auto"/>
              <w:ind w:left="35" w:firstLine="325"/>
              <w:contextualSpacing/>
              <w:rPr>
                <w:rFonts w:ascii="Times New Roman" w:hAnsi="Times New Roman" w:cs="Times New Roman"/>
                <w:sz w:val="28"/>
                <w:szCs w:val="28"/>
              </w:rPr>
            </w:pPr>
            <w:r>
              <w:rPr>
                <w:rFonts w:ascii="Times New Roman" w:eastAsia="Times New Roman" w:hAnsi="Times New Roman" w:cs="Times New Roman"/>
                <w:sz w:val="28"/>
                <w:szCs w:val="28"/>
              </w:rPr>
              <w:t>Разработка проектно-сметной документации (26 000,00 руб.)</w:t>
            </w:r>
          </w:p>
          <w:p w:rsidR="00B52DE3" w:rsidRDefault="00DE73E3">
            <w:pPr>
              <w:numPr>
                <w:ilvl w:val="0"/>
                <w:numId w:val="11"/>
              </w:numPr>
              <w:spacing w:after="0" w:line="240" w:lineRule="auto"/>
              <w:ind w:left="35" w:firstLine="325"/>
              <w:contextualSpacing/>
              <w:rPr>
                <w:rFonts w:ascii="Times New Roman" w:hAnsi="Times New Roman" w:cs="Times New Roman"/>
                <w:sz w:val="28"/>
                <w:szCs w:val="28"/>
              </w:rPr>
            </w:pPr>
            <w:r>
              <w:rPr>
                <w:rFonts w:ascii="Times New Roman" w:eastAsia="Times New Roman" w:hAnsi="Times New Roman" w:cs="Times New Roman"/>
                <w:sz w:val="28"/>
                <w:szCs w:val="28"/>
              </w:rPr>
              <w:t>Строительный контроль (18 000,00 руб.)</w:t>
            </w:r>
          </w:p>
          <w:p w:rsidR="00B52DE3" w:rsidRDefault="00DE73E3">
            <w:pPr>
              <w:numPr>
                <w:ilvl w:val="0"/>
                <w:numId w:val="11"/>
              </w:numPr>
              <w:spacing w:after="0" w:line="240" w:lineRule="auto"/>
              <w:ind w:left="35" w:firstLine="325"/>
              <w:contextualSpacing/>
              <w:rPr>
                <w:rFonts w:ascii="Times New Roman" w:hAnsi="Times New Roman" w:cs="Times New Roman"/>
                <w:sz w:val="28"/>
                <w:szCs w:val="28"/>
              </w:rPr>
            </w:pPr>
            <w:r>
              <w:rPr>
                <w:rFonts w:ascii="Times New Roman" w:eastAsia="Times New Roman" w:hAnsi="Times New Roman" w:cs="Times New Roman"/>
                <w:sz w:val="28"/>
                <w:szCs w:val="28"/>
              </w:rPr>
              <w:t xml:space="preserve">Очистка, </w:t>
            </w:r>
            <w:proofErr w:type="spellStart"/>
            <w:r>
              <w:rPr>
                <w:rFonts w:ascii="Times New Roman" w:eastAsia="Times New Roman" w:hAnsi="Times New Roman" w:cs="Times New Roman"/>
                <w:sz w:val="28"/>
                <w:szCs w:val="28"/>
              </w:rPr>
              <w:t>обеспыливание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огрунтовка</w:t>
            </w:r>
            <w:proofErr w:type="spellEnd"/>
            <w:r>
              <w:rPr>
                <w:rFonts w:ascii="Times New Roman" w:eastAsia="Times New Roman" w:hAnsi="Times New Roman" w:cs="Times New Roman"/>
                <w:sz w:val="28"/>
                <w:szCs w:val="28"/>
              </w:rPr>
              <w:t>, покраска поверхностей стелы, укрепление фундамента памятника, расчистка площадей от кустарника и мелколесья ( 500 866, 40 руб.).</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3.</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Памятник погибшим и воевавшим в локальных войнах и военных конфликтах.</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Помывка памятника, уборка на территории объекта, приуроченная к праздничным датам, а также общественным акциям волонтеров и неравнодушных горожан. Стоимость работ – 5000 рублей.</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4.</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«Братская могила красногвардейцев, погибших за Советскую власть в бою с японскими интервентами 4-6 июля 1918 года»</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В 2025-м году на объекте выполнялись следующие работы:</w:t>
            </w:r>
          </w:p>
          <w:p w:rsidR="00B52DE3" w:rsidRDefault="00DE73E3">
            <w:pPr>
              <w:numPr>
                <w:ilvl w:val="0"/>
                <w:numId w:val="12"/>
              </w:numPr>
              <w:spacing w:after="0" w:line="240" w:lineRule="auto"/>
              <w:ind w:left="35" w:firstLine="425"/>
              <w:contextualSpacing/>
              <w:rPr>
                <w:rFonts w:ascii="Times New Roman" w:hAnsi="Times New Roman" w:cs="Times New Roman"/>
                <w:sz w:val="28"/>
                <w:szCs w:val="28"/>
              </w:rPr>
            </w:pPr>
            <w:r>
              <w:rPr>
                <w:rFonts w:ascii="Times New Roman" w:eastAsia="Times New Roman" w:hAnsi="Times New Roman" w:cs="Times New Roman"/>
                <w:sz w:val="28"/>
                <w:szCs w:val="28"/>
              </w:rPr>
              <w:t>Работы по благоустройству памятника. Уборка территории, вывоз мусора, очистка от сорных насаждений, изготовление таблички и покраска памятника. Общая стоимость работ 66 697,18 рублей.</w:t>
            </w:r>
          </w:p>
          <w:p w:rsidR="00B52DE3" w:rsidRDefault="00DE73E3">
            <w:pPr>
              <w:numPr>
                <w:ilvl w:val="0"/>
                <w:numId w:val="12"/>
              </w:numPr>
              <w:spacing w:after="0" w:line="240" w:lineRule="auto"/>
              <w:ind w:left="35" w:firstLine="425"/>
              <w:contextualSpacing/>
              <w:rPr>
                <w:rFonts w:ascii="Times New Roman" w:hAnsi="Times New Roman" w:cs="Times New Roman"/>
                <w:sz w:val="28"/>
                <w:szCs w:val="28"/>
              </w:rPr>
            </w:pPr>
            <w:r>
              <w:rPr>
                <w:rFonts w:ascii="Times New Roman" w:eastAsia="Times New Roman" w:hAnsi="Times New Roman" w:cs="Times New Roman"/>
                <w:sz w:val="28"/>
                <w:szCs w:val="28"/>
              </w:rPr>
              <w:t>Проведен ремонт оградки памятника. Полное удаление старого покрытия, последующая грунтовк</w:t>
            </w:r>
            <w:r w:rsidR="00377D64">
              <w:rPr>
                <w:rFonts w:ascii="Times New Roman" w:eastAsia="Times New Roman" w:hAnsi="Times New Roman" w:cs="Times New Roman"/>
                <w:sz w:val="28"/>
                <w:szCs w:val="28"/>
              </w:rPr>
              <w:t>а и покраска поверхностей труб</w:t>
            </w:r>
            <w:r>
              <w:rPr>
                <w:rFonts w:ascii="Times New Roman" w:eastAsia="Times New Roman" w:hAnsi="Times New Roman" w:cs="Times New Roman"/>
                <w:sz w:val="28"/>
                <w:szCs w:val="28"/>
              </w:rPr>
              <w:t xml:space="preserve"> оградки. Работы выполнены на общую стоимость 73 302,82 руб.</w:t>
            </w:r>
          </w:p>
          <w:p w:rsidR="00B52DE3" w:rsidRDefault="00DE73E3">
            <w:pPr>
              <w:numPr>
                <w:ilvl w:val="0"/>
                <w:numId w:val="12"/>
              </w:numPr>
              <w:spacing w:after="0" w:line="240" w:lineRule="auto"/>
              <w:ind w:left="35" w:firstLine="425"/>
              <w:contextualSpacing/>
              <w:rPr>
                <w:rFonts w:ascii="Times New Roman" w:hAnsi="Times New Roman" w:cs="Times New Roman"/>
                <w:sz w:val="28"/>
                <w:szCs w:val="28"/>
              </w:rPr>
            </w:pPr>
            <w:r>
              <w:rPr>
                <w:rFonts w:ascii="Times New Roman" w:eastAsia="Times New Roman" w:hAnsi="Times New Roman" w:cs="Times New Roman"/>
                <w:sz w:val="28"/>
                <w:szCs w:val="28"/>
              </w:rPr>
              <w:t>Проведение строительно-технической экспертизы. Стоимость выполненных работ – 70000 руб.</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5.</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Памятник партизанам и </w:t>
            </w:r>
            <w:proofErr w:type="spellStart"/>
            <w:r>
              <w:rPr>
                <w:rFonts w:ascii="Times New Roman" w:eastAsia="Times New Roman" w:hAnsi="Times New Roman" w:cs="Times New Roman"/>
                <w:sz w:val="28"/>
                <w:szCs w:val="28"/>
              </w:rPr>
              <w:t>народоармейцам</w:t>
            </w:r>
            <w:proofErr w:type="spellEnd"/>
            <w:r>
              <w:rPr>
                <w:rFonts w:ascii="Times New Roman" w:eastAsia="Times New Roman" w:hAnsi="Times New Roman" w:cs="Times New Roman"/>
                <w:sz w:val="28"/>
                <w:szCs w:val="28"/>
              </w:rPr>
              <w:t>, погибшим в бою 5 апреля 1920 года.</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В 2025-м году на территории объекта «Памятник партизанам и </w:t>
            </w:r>
            <w:proofErr w:type="spellStart"/>
            <w:r>
              <w:rPr>
                <w:rFonts w:ascii="Times New Roman" w:eastAsia="Times New Roman" w:hAnsi="Times New Roman" w:cs="Times New Roman"/>
                <w:sz w:val="28"/>
                <w:szCs w:val="28"/>
              </w:rPr>
              <w:t>народоармейцам</w:t>
            </w:r>
            <w:proofErr w:type="spellEnd"/>
            <w:r>
              <w:rPr>
                <w:rFonts w:ascii="Times New Roman" w:eastAsia="Times New Roman" w:hAnsi="Times New Roman" w:cs="Times New Roman"/>
                <w:sz w:val="28"/>
                <w:szCs w:val="28"/>
              </w:rPr>
              <w:t>, погибшим в бою 5 апреля 1920 года», расположенного по адресу: г. Уссурийск, ул. Комарова, 1 были проведены работы по обновлению надписи памятника. Стоимость работ – 20 000 рублей.</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6.</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Захоронение воинов Советской Армии, павших в боях с японскими милитаристами в августе 1945 г</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Уборка и приведение в порядок территории мемориального комплекса памятника «Пять сопок». Покос травы, покраска ограждения и элементов памятника, очистка территории воинского захоронения от мусора.</w:t>
            </w:r>
          </w:p>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Очистка старого лакокрасочного слоя, грунтовка и последующая покраска памятника с сохранением первоначального цвета. Стоимость выполненных работ – 51 261,23 руб.</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7.</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Братская могила воинов Советской Армии, павших в боях с японскими милитаристами в августе 1945г. № реестра ОКН </w:t>
            </w:r>
            <w:r>
              <w:rPr>
                <w:rFonts w:ascii="Times New Roman" w:eastAsia="Times New Roman" w:hAnsi="Times New Roman" w:cs="Times New Roman"/>
                <w:sz w:val="28"/>
                <w:szCs w:val="28"/>
              </w:rPr>
              <w:lastRenderedPageBreak/>
              <w:t xml:space="preserve">251711289670005, № кадастровый 25:18:015101:90, адрес: Приморский край, с. </w:t>
            </w:r>
            <w:proofErr w:type="spellStart"/>
            <w:r>
              <w:rPr>
                <w:rFonts w:ascii="Times New Roman" w:eastAsia="Times New Roman" w:hAnsi="Times New Roman" w:cs="Times New Roman"/>
                <w:sz w:val="28"/>
                <w:szCs w:val="28"/>
              </w:rPr>
              <w:t>Николо-Львовское</w:t>
            </w:r>
            <w:proofErr w:type="spellEnd"/>
            <w:r>
              <w:rPr>
                <w:rFonts w:ascii="Times New Roman" w:eastAsia="Times New Roman" w:hAnsi="Times New Roman" w:cs="Times New Roman"/>
                <w:sz w:val="28"/>
                <w:szCs w:val="28"/>
              </w:rPr>
              <w:t>, ул. Пархоменко, 5А, примерно в 4 км на юг от здания магазина.</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lastRenderedPageBreak/>
              <w:t>Уборка и приведение в порядок территории мемориального комплекса памятника «Пять сопок». Покос травы, покраска ограждения и элементов памятника, очистка территории воинского захоронения от мусора.</w:t>
            </w:r>
          </w:p>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Очистка старого лакокрасочного слоя, </w:t>
            </w:r>
            <w:r>
              <w:rPr>
                <w:rFonts w:ascii="Times New Roman" w:eastAsia="Times New Roman" w:hAnsi="Times New Roman" w:cs="Times New Roman"/>
                <w:sz w:val="28"/>
                <w:szCs w:val="28"/>
              </w:rPr>
              <w:lastRenderedPageBreak/>
              <w:t>грунтовка и последующая покраска памятника с сохранением первоначального цвета. Стоимость выполненных работ – 182281,36 руб.</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8.</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Памятник воинам-односельчанам, погибшим в годы ВОВ.</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Благоустройство территории объекта «Памятник воинам-односельчанам, погибшим в годы Великой Отечественной войны 1941-45гг.» Расположенного по адресу: Приморский край, г. Уссурийск, ул. Центральная (ул. Теодора Тихого, 9 школа).</w:t>
            </w:r>
          </w:p>
          <w:p w:rsidR="00B52DE3" w:rsidRDefault="00B52DE3">
            <w:pPr>
              <w:spacing w:after="0" w:line="240" w:lineRule="auto"/>
              <w:rPr>
                <w:rFonts w:ascii="Times New Roman" w:hAnsi="Times New Roman" w:cs="Times New Roman"/>
                <w:sz w:val="28"/>
                <w:szCs w:val="28"/>
              </w:rPr>
            </w:pPr>
          </w:p>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Очистка старого лакокрасочного слоя, грунтовка и последующая покраска памятника с сохранением первоначального цвета. Стоимость выполненных работ – 106 477, 50 руб.</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9.</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Памятник жителям пос. Доброполье, погибшим в годы Великой Отечественной воины.</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В 2025-м году проводился капитальный ремонт основания объекта «Памятник жителям пос. Доброполье, погибшим в годы Великой Отечественной воины.», расположенного по адресу: Приморский край, г. Уссурийск, </w:t>
            </w:r>
            <w:proofErr w:type="spellStart"/>
            <w:r>
              <w:rPr>
                <w:rFonts w:ascii="Times New Roman" w:eastAsia="Times New Roman" w:hAnsi="Times New Roman" w:cs="Times New Roman"/>
                <w:sz w:val="28"/>
                <w:szCs w:val="28"/>
              </w:rPr>
              <w:t>ул</w:t>
            </w:r>
            <w:proofErr w:type="spellEnd"/>
            <w:r>
              <w:rPr>
                <w:rFonts w:ascii="Times New Roman" w:eastAsia="Times New Roman" w:hAnsi="Times New Roman" w:cs="Times New Roman"/>
                <w:sz w:val="28"/>
                <w:szCs w:val="28"/>
              </w:rPr>
              <w:t xml:space="preserve"> Березовая, 5. Проведены работы по утеплению фундамента, а также по замене плитки основания и ограды. Общая стоимость выполненных работ – 146 216, 14 рублей.</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10.</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Памятник рабочим-шахтерам, погибшим в годы Великой Отечественной войны.</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  В 2025-м году проводились работы по ремонту и благоустройству объекта «Памятник рабочим-шахтерам, погибшим в годы Великой Отечественной войны.», расположенного по адресу: Приморский край, г. Уссурийск, примерно в 150 метрах по направлению на юго-запад от ориентира здания школы, расположенной по адресу: г. Уссурийск, ул. Теодора Тихого, д. 9 (Центральная).</w:t>
            </w:r>
          </w:p>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В ходе работ было проведено устранение </w:t>
            </w:r>
            <w:r>
              <w:rPr>
                <w:rFonts w:ascii="Times New Roman" w:eastAsia="Times New Roman" w:hAnsi="Times New Roman" w:cs="Times New Roman"/>
                <w:sz w:val="28"/>
                <w:szCs w:val="28"/>
              </w:rPr>
              <w:lastRenderedPageBreak/>
              <w:t>трещин и сколов, выполнена частичная реставрация бюста памятника (нос шахтера, пострадавший от действий вандалов), а также работы по заделке швов и покраске вагонеток, и бордюр ограждения. Общая стоимость выполненных работ – 20 000 руб.</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11</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Здание, в котором размещалась старейшая начальная школа — первое учебное заведение города</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  В 2025-м году прошел ремонт здания краеведческого музея Уссурийска. (Приморский край, г. Уссурийск, ул. Краснознаменная, 80). В ходе реконструкции выполнялись следующие работы:</w:t>
            </w:r>
          </w:p>
          <w:p w:rsidR="00B52DE3" w:rsidRDefault="00DE73E3">
            <w:pPr>
              <w:numPr>
                <w:ilvl w:val="0"/>
                <w:numId w:val="13"/>
              </w:numPr>
              <w:spacing w:after="0" w:line="240" w:lineRule="auto"/>
              <w:ind w:left="41" w:firstLine="284"/>
              <w:contextualSpacing/>
              <w:rPr>
                <w:rFonts w:ascii="Times New Roman" w:hAnsi="Times New Roman" w:cs="Times New Roman"/>
                <w:sz w:val="28"/>
                <w:szCs w:val="28"/>
              </w:rPr>
            </w:pPr>
            <w:r>
              <w:rPr>
                <w:rFonts w:ascii="Times New Roman" w:eastAsia="Times New Roman" w:hAnsi="Times New Roman" w:cs="Times New Roman"/>
                <w:sz w:val="28"/>
                <w:szCs w:val="28"/>
              </w:rPr>
              <w:t>Замена дверей. (24 403 руб.).</w:t>
            </w:r>
          </w:p>
          <w:p w:rsidR="00B52DE3" w:rsidRDefault="00DE73E3">
            <w:pPr>
              <w:numPr>
                <w:ilvl w:val="0"/>
                <w:numId w:val="13"/>
              </w:numPr>
              <w:spacing w:after="0" w:line="240" w:lineRule="auto"/>
              <w:ind w:left="41" w:firstLine="284"/>
              <w:contextualSpacing/>
              <w:rPr>
                <w:rFonts w:ascii="Times New Roman" w:hAnsi="Times New Roman" w:cs="Times New Roman"/>
                <w:sz w:val="28"/>
                <w:szCs w:val="28"/>
              </w:rPr>
            </w:pPr>
            <w:r>
              <w:rPr>
                <w:rFonts w:ascii="Times New Roman" w:eastAsia="Times New Roman" w:hAnsi="Times New Roman" w:cs="Times New Roman"/>
                <w:sz w:val="28"/>
                <w:szCs w:val="28"/>
              </w:rPr>
              <w:t xml:space="preserve">Монтаж </w:t>
            </w:r>
            <w:proofErr w:type="spellStart"/>
            <w:r>
              <w:rPr>
                <w:rFonts w:ascii="Times New Roman" w:eastAsia="Times New Roman" w:hAnsi="Times New Roman" w:cs="Times New Roman"/>
                <w:sz w:val="28"/>
                <w:szCs w:val="28"/>
              </w:rPr>
              <w:t>энергооборудования</w:t>
            </w:r>
            <w:proofErr w:type="spellEnd"/>
            <w:r>
              <w:rPr>
                <w:rFonts w:ascii="Times New Roman" w:eastAsia="Times New Roman" w:hAnsi="Times New Roman" w:cs="Times New Roman"/>
                <w:sz w:val="28"/>
                <w:szCs w:val="28"/>
              </w:rPr>
              <w:t xml:space="preserve"> для установки кондиционера, монтаж кондиционера. (16 000 руб.)</w:t>
            </w:r>
          </w:p>
          <w:p w:rsidR="00B52DE3" w:rsidRDefault="00DE73E3">
            <w:pPr>
              <w:numPr>
                <w:ilvl w:val="0"/>
                <w:numId w:val="13"/>
              </w:numPr>
              <w:spacing w:after="0" w:line="240" w:lineRule="auto"/>
              <w:ind w:left="41" w:firstLine="284"/>
              <w:contextualSpacing/>
              <w:rPr>
                <w:rFonts w:ascii="Times New Roman" w:hAnsi="Times New Roman" w:cs="Times New Roman"/>
                <w:sz w:val="28"/>
                <w:szCs w:val="28"/>
              </w:rPr>
            </w:pPr>
            <w:r>
              <w:rPr>
                <w:rFonts w:ascii="Times New Roman" w:eastAsia="Times New Roman" w:hAnsi="Times New Roman" w:cs="Times New Roman"/>
                <w:sz w:val="28"/>
                <w:szCs w:val="28"/>
              </w:rPr>
              <w:t>Обновление и герметизация кровли здания (94508,00 руб.)</w:t>
            </w:r>
          </w:p>
          <w:p w:rsidR="00B52DE3" w:rsidRDefault="00DE73E3">
            <w:pPr>
              <w:numPr>
                <w:ilvl w:val="0"/>
                <w:numId w:val="13"/>
              </w:numPr>
              <w:spacing w:after="0" w:line="240" w:lineRule="auto"/>
              <w:ind w:left="41" w:firstLine="284"/>
              <w:contextualSpacing/>
              <w:rPr>
                <w:rFonts w:ascii="Times New Roman" w:hAnsi="Times New Roman" w:cs="Times New Roman"/>
                <w:sz w:val="28"/>
                <w:szCs w:val="28"/>
              </w:rPr>
            </w:pPr>
            <w:r>
              <w:rPr>
                <w:rFonts w:ascii="Times New Roman" w:eastAsia="Times New Roman" w:hAnsi="Times New Roman" w:cs="Times New Roman"/>
                <w:sz w:val="28"/>
                <w:szCs w:val="28"/>
              </w:rPr>
              <w:t>Монтаж архитектурной подсветки с изготовлением проектно-сметной документации (2 782 000,00 руб.)</w:t>
            </w:r>
          </w:p>
          <w:p w:rsidR="00B52DE3" w:rsidRDefault="00DE73E3">
            <w:pPr>
              <w:numPr>
                <w:ilvl w:val="0"/>
                <w:numId w:val="13"/>
              </w:numPr>
              <w:spacing w:after="0" w:line="240" w:lineRule="auto"/>
              <w:ind w:left="41" w:firstLine="284"/>
              <w:contextualSpacing/>
              <w:rPr>
                <w:rFonts w:ascii="Times New Roman" w:hAnsi="Times New Roman" w:cs="Times New Roman"/>
                <w:sz w:val="28"/>
                <w:szCs w:val="28"/>
              </w:rPr>
            </w:pPr>
            <w:r>
              <w:rPr>
                <w:rFonts w:ascii="Times New Roman" w:eastAsia="Times New Roman" w:hAnsi="Times New Roman" w:cs="Times New Roman"/>
                <w:sz w:val="28"/>
                <w:szCs w:val="28"/>
              </w:rPr>
              <w:t>Замена старых оконных коробок, остекление (71 755, 72 руб.)</w:t>
            </w:r>
          </w:p>
          <w:p w:rsidR="00B52DE3" w:rsidRDefault="00DE73E3">
            <w:pPr>
              <w:numPr>
                <w:ilvl w:val="0"/>
                <w:numId w:val="13"/>
              </w:numPr>
              <w:spacing w:after="0" w:line="240" w:lineRule="auto"/>
              <w:ind w:left="41" w:firstLine="284"/>
              <w:contextualSpacing/>
              <w:rPr>
                <w:rFonts w:ascii="Times New Roman" w:hAnsi="Times New Roman" w:cs="Times New Roman"/>
                <w:sz w:val="28"/>
                <w:szCs w:val="28"/>
              </w:rPr>
            </w:pPr>
            <w:r>
              <w:rPr>
                <w:rFonts w:ascii="Times New Roman" w:eastAsia="Times New Roman" w:hAnsi="Times New Roman" w:cs="Times New Roman"/>
                <w:sz w:val="28"/>
                <w:szCs w:val="28"/>
              </w:rPr>
              <w:t>Монтаж защитной решетки на кондиционер (17 000 руб.)</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12.</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6 объектов культурного наследия.</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Научно-изыскательные работы по 6   памятникам (52 000 руб.)</w:t>
            </w:r>
          </w:p>
        </w:tc>
      </w:tr>
      <w:tr w:rsidR="00B52DE3">
        <w:tc>
          <w:tcPr>
            <w:tcW w:w="6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13.</w:t>
            </w:r>
          </w:p>
        </w:tc>
        <w:tc>
          <w:tcPr>
            <w:tcW w:w="318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Объекты культурного наследия</w:t>
            </w:r>
          </w:p>
        </w:tc>
        <w:tc>
          <w:tcPr>
            <w:tcW w:w="524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Благоустройство территории памятников: уборка снега, вывоз мусора, покос травы. Стоимость выполненных работ – 327723,28 руб.</w:t>
            </w:r>
          </w:p>
        </w:tc>
      </w:tr>
    </w:tbl>
    <w:p w:rsidR="00B52DE3" w:rsidRDefault="00B52DE3">
      <w:pPr>
        <w:spacing w:after="0" w:line="240" w:lineRule="auto"/>
        <w:jc w:val="both"/>
        <w:rPr>
          <w:rFonts w:ascii="Times New Roman" w:hAnsi="Times New Roman" w:cs="Times New Roman"/>
          <w:sz w:val="28"/>
          <w:szCs w:val="28"/>
        </w:rPr>
      </w:pPr>
    </w:p>
    <w:p w:rsidR="00B52DE3" w:rsidRDefault="00DE73E3">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Ремонт и благоустройство объектов культурного наследия на территории Уссурийского городского округа проводится в рамках следующих программ:</w:t>
      </w:r>
    </w:p>
    <w:p w:rsidR="00B52DE3" w:rsidRDefault="00DE73E3">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развитие культуры и искусства УГО Приморского края на 2023-2028 </w:t>
      </w:r>
      <w:proofErr w:type="spellStart"/>
      <w:r>
        <w:rPr>
          <w:rFonts w:ascii="Times New Roman" w:eastAsia="Times New Roman" w:hAnsi="Times New Roman" w:cs="Times New Roman"/>
          <w:sz w:val="28"/>
          <w:szCs w:val="28"/>
        </w:rPr>
        <w:t>гг</w:t>
      </w:r>
      <w:proofErr w:type="spellEnd"/>
      <w:r>
        <w:rPr>
          <w:rFonts w:ascii="Times New Roman" w:eastAsia="Times New Roman" w:hAnsi="Times New Roman" w:cs="Times New Roman"/>
          <w:sz w:val="28"/>
          <w:szCs w:val="28"/>
        </w:rPr>
        <w:t>;</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развитие туризма не территории УГО Приморского края на 2023-2029 гг.</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 xml:space="preserve">Работы по уборке территорий памятников проходят с участием сотрудников музея, а также военнослужащих, студентов и неравнодушных граждан. К освещению деятельности по сохранению ОКН на территории УГО </w:t>
      </w:r>
      <w:r>
        <w:rPr>
          <w:rFonts w:ascii="Times New Roman" w:eastAsia="Times New Roman" w:hAnsi="Times New Roman" w:cs="Times New Roman"/>
          <w:color w:val="000000" w:themeColor="dark1"/>
          <w:sz w:val="28"/>
          <w:szCs w:val="28"/>
        </w:rPr>
        <w:t>привлекаются СМИ.</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lang w:eastAsia="ru-RU"/>
        </w:rPr>
        <w:t xml:space="preserve">В отчетном периоде завершена работа по передаче муниципалитету могилы и памятника герою-комсомольцу Виталию </w:t>
      </w:r>
      <w:proofErr w:type="spellStart"/>
      <w:r>
        <w:rPr>
          <w:rFonts w:ascii="Times New Roman" w:eastAsia="Times New Roman" w:hAnsi="Times New Roman" w:cs="Times New Roman"/>
          <w:color w:val="000000" w:themeColor="dark1"/>
          <w:sz w:val="28"/>
          <w:szCs w:val="28"/>
          <w:lang w:eastAsia="ru-RU"/>
        </w:rPr>
        <w:t>Банивуру</w:t>
      </w:r>
      <w:proofErr w:type="spellEnd"/>
      <w:r>
        <w:rPr>
          <w:rFonts w:ascii="Times New Roman" w:eastAsia="Times New Roman" w:hAnsi="Times New Roman" w:cs="Times New Roman"/>
          <w:color w:val="000000" w:themeColor="dark1"/>
          <w:sz w:val="28"/>
          <w:szCs w:val="28"/>
          <w:lang w:eastAsia="ru-RU"/>
        </w:rPr>
        <w:t>. Теперь объект находится в оперативном управлении Уссурийского музея. Сотрудниками музея разработана проектно-сметная документация, и в 2026 году начнется ремонт мемориального комплекса.</w:t>
      </w:r>
    </w:p>
    <w:p w:rsidR="00B52DE3" w:rsidRDefault="00DE73E3">
      <w:pPr>
        <w:pStyle w:val="1fe"/>
        <w:keepNext w:val="0"/>
        <w:keepLines w:val="0"/>
        <w:spacing w:line="240" w:lineRule="auto"/>
      </w:pPr>
      <w:bookmarkStart w:id="90" w:name="_Toc85"/>
      <w:r>
        <w:rPr>
          <w:rFonts w:eastAsia="Times New Roman"/>
          <w:lang w:eastAsia="ru-RU"/>
        </w:rPr>
        <w:t>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bookmarkEnd w:id="90"/>
    </w:p>
    <w:p w:rsidR="00B52DE3" w:rsidRDefault="00B52DE3">
      <w:pPr>
        <w:widowControl w:val="0"/>
        <w:spacing w:after="0" w:line="240" w:lineRule="auto"/>
        <w:ind w:firstLine="709"/>
        <w:jc w:val="both"/>
        <w:rPr>
          <w:rFonts w:ascii="Times New Roman" w:hAnsi="Times New Roman" w:cs="Times New Roman"/>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20 марта 2025 года                 № 33-ФЗ «Об общих принципах организации местного самоуправления                   в единой системе публичной власти» администрация Уссурийского городского округа Приморского края проводит работу по обеспечению условий для развития на территории Уссурийского городского округа Приморского края (далее - Уссурийский городской округ) физической культуры и массового спорта, организации проведения официальных физкультурно-оздоровительных и спортивных мероприятий.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Для решения данного вопроса администрацией Уссурийского городского округа </w:t>
      </w:r>
      <w:r>
        <w:rPr>
          <w:rFonts w:ascii="Times New Roman" w:eastAsia="Times New Roman" w:hAnsi="Times New Roman" w:cs="Times New Roman"/>
          <w:sz w:val="28"/>
          <w:szCs w:val="28"/>
        </w:rPr>
        <w:t xml:space="preserve">Приморского края </w:t>
      </w:r>
      <w:r>
        <w:rPr>
          <w:rFonts w:ascii="Times New Roman" w:eastAsia="Times New Roman" w:hAnsi="Times New Roman" w:cs="Times New Roman"/>
          <w:bCs/>
          <w:sz w:val="28"/>
          <w:szCs w:val="28"/>
        </w:rPr>
        <w:t xml:space="preserve">реализуется муниципальная программа                          </w:t>
      </w:r>
      <w:r>
        <w:rPr>
          <w:rFonts w:ascii="Times New Roman" w:eastAsia="Times New Roman" w:hAnsi="Times New Roman" w:cs="Times New Roman"/>
          <w:sz w:val="28"/>
          <w:szCs w:val="28"/>
        </w:rPr>
        <w:t>«Развитие физической культуры, массового спорта и укрепление общественного здоровья в Уссурийском городском округе Приморского края» на 2021 – 2028 годы</w:t>
      </w:r>
      <w:r>
        <w:rPr>
          <w:rFonts w:ascii="Times New Roman" w:eastAsia="Times New Roman" w:hAnsi="Times New Roman" w:cs="Times New Roman"/>
          <w:color w:val="000000"/>
          <w:sz w:val="28"/>
          <w:szCs w:val="28"/>
        </w:rPr>
        <w:t xml:space="preserve">, утвержденная постановлением администрации </w:t>
      </w:r>
      <w:r>
        <w:rPr>
          <w:rFonts w:ascii="Times New Roman" w:eastAsia="Times New Roman" w:hAnsi="Times New Roman" w:cs="Times New Roman"/>
          <w:color w:val="000000"/>
          <w:sz w:val="28"/>
          <w:szCs w:val="28"/>
        </w:rPr>
        <w:lastRenderedPageBreak/>
        <w:t>Уссурийского городского округа Приморского края от 12 января 2021 года  № 24-НПА.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Структура физкультурного движения Уссурийского городского округа включает в себя 221 коллектив физической культуры в общеобразовательных организациях, детских дошкольных учреждениях, детских домах                              и интернатах, организациях высшего и профессионального образования, учреждениях и предприятиях округа в том числе:</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спортивные федерации – 56;</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спортивные клубы – 27;</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спортивная школа по различным видам спорта – 1;</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спортивная школа «Рекорд» – 1;</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спортивная школа имени С.П. Шевченко – 1;</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учреждения дополнительного образования, осуществляющие спортивную подготовку – 3.</w:t>
      </w:r>
    </w:p>
    <w:p w:rsidR="00B52DE3" w:rsidRDefault="00DE73E3">
      <w:pPr>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lang w:bidi="en-US"/>
        </w:rPr>
        <w:t>На территории округа функционируют четыре муниципальных автономных учреждения «Плавательный бассейн «Чайка» Уссурийского городского округа Приморского края (далее – МАУ ПБ «Чайка» УГО ПК), спортивно-оздоровительный комплекс «Ледовая арена» имени Р.В. </w:t>
      </w:r>
      <w:proofErr w:type="spellStart"/>
      <w:r>
        <w:rPr>
          <w:rFonts w:ascii="Times New Roman" w:eastAsia="Times New Roman" w:hAnsi="Times New Roman" w:cs="Times New Roman"/>
          <w:sz w:val="28"/>
          <w:szCs w:val="28"/>
          <w:lang w:bidi="en-US"/>
        </w:rPr>
        <w:t>Клиза</w:t>
      </w:r>
      <w:proofErr w:type="spellEnd"/>
      <w:r>
        <w:rPr>
          <w:rFonts w:ascii="Times New Roman" w:eastAsia="Times New Roman" w:hAnsi="Times New Roman" w:cs="Times New Roman"/>
          <w:sz w:val="28"/>
          <w:szCs w:val="28"/>
          <w:lang w:bidi="en-US"/>
        </w:rPr>
        <w:t xml:space="preserve"> Уссурийского городского округа Приморского края (далее – МАУ СОК «Ледовая арена» УГО ПК), которая включает в себя 2 тренировочных катка, спортивная школа дополнительного образования имени С.П. Шевченко Уссурийского городского округа Приморского края (далее – МАУ ДО СШ им. С.П. Шевченко УГО ПК), спортивная школа дополнительного образования «Рекорд» Уссурийского городского округа Приморского края (далее – МАУ ДО СШ «Рекорд» УГО ПК), которая включает в себя следующие спортивные объекты стадион «Городской» и спортивный комплекс «Стадион «Локомотив». Развивается сеть коммерческих </w:t>
      </w:r>
      <w:proofErr w:type="spellStart"/>
      <w:r>
        <w:rPr>
          <w:rFonts w:ascii="Times New Roman" w:eastAsia="Times New Roman" w:hAnsi="Times New Roman" w:cs="Times New Roman"/>
          <w:sz w:val="28"/>
          <w:szCs w:val="28"/>
          <w:lang w:bidi="en-US"/>
        </w:rPr>
        <w:t>фитнес-клубов</w:t>
      </w:r>
      <w:proofErr w:type="spellEnd"/>
      <w:r>
        <w:rPr>
          <w:rFonts w:ascii="Times New Roman" w:eastAsia="Times New Roman" w:hAnsi="Times New Roman" w:cs="Times New Roman"/>
          <w:sz w:val="28"/>
          <w:szCs w:val="28"/>
          <w:lang w:bidi="en-US"/>
        </w:rPr>
        <w:t xml:space="preserve"> и </w:t>
      </w:r>
      <w:proofErr w:type="spellStart"/>
      <w:r>
        <w:rPr>
          <w:rFonts w:ascii="Times New Roman" w:eastAsia="Times New Roman" w:hAnsi="Times New Roman" w:cs="Times New Roman"/>
          <w:sz w:val="28"/>
          <w:szCs w:val="28"/>
          <w:lang w:bidi="en-US"/>
        </w:rPr>
        <w:t>фитнес-центров</w:t>
      </w:r>
      <w:proofErr w:type="spellEnd"/>
      <w:r>
        <w:rPr>
          <w:rFonts w:ascii="Times New Roman" w:eastAsia="Times New Roman" w:hAnsi="Times New Roman" w:cs="Times New Roman"/>
          <w:sz w:val="28"/>
          <w:szCs w:val="28"/>
          <w:lang w:bidi="en-US"/>
        </w:rPr>
        <w:t xml:space="preserve"> (16 единиц).</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bidi="en-US"/>
        </w:rPr>
        <w:lastRenderedPageBreak/>
        <w:t xml:space="preserve">В целях привлечения детей к занятиям спортом в 2025 году МАУ СОК «Ледовая арена» УГО ПК, МАУ ПБ «Чайка» УГО ПК, МАУ ДО СШ им. С.П. Шевченко УГО ПК и МАУ ДО СШ «РЕКОРД» УГО ПК доведены бюджетные ассигнования в рамках муниципального задания на обучение школьников плаванию, катанию на коньках и основам игры в хоккей, </w:t>
      </w:r>
      <w:r>
        <w:rPr>
          <w:rFonts w:ascii="Times New Roman" w:eastAsia="Times New Roman" w:hAnsi="Times New Roman" w:cs="Times New Roman"/>
          <w:sz w:val="28"/>
          <w:szCs w:val="28"/>
        </w:rPr>
        <w:t xml:space="preserve">спортивной подготовке по олимпийским и </w:t>
      </w:r>
      <w:proofErr w:type="spellStart"/>
      <w:r>
        <w:rPr>
          <w:rFonts w:ascii="Times New Roman" w:eastAsia="Times New Roman" w:hAnsi="Times New Roman" w:cs="Times New Roman"/>
          <w:sz w:val="28"/>
          <w:szCs w:val="28"/>
        </w:rPr>
        <w:t>неолимпийским</w:t>
      </w:r>
      <w:proofErr w:type="spellEnd"/>
      <w:r>
        <w:rPr>
          <w:rFonts w:ascii="Times New Roman" w:eastAsia="Times New Roman" w:hAnsi="Times New Roman" w:cs="Times New Roman"/>
          <w:sz w:val="28"/>
          <w:szCs w:val="28"/>
        </w:rPr>
        <w:t xml:space="preserve"> видам спорта, мотоциклетному спорту</w:t>
      </w:r>
      <w:r>
        <w:rPr>
          <w:rFonts w:ascii="Times New Roman" w:eastAsia="Times New Roman" w:hAnsi="Times New Roman" w:cs="Times New Roman"/>
          <w:sz w:val="28"/>
          <w:szCs w:val="28"/>
          <w:lang w:bidi="en-US"/>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Средняя численность детей (в возрасте от 3 до 17 лет) занимающихся в спортивных секциях в течение 12 месяцев 2025 года составила 19513 человек, за аналогичный период 2024 года – 19505 человек.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течение 12 месяцев 2025 года к услугам занимающихся физической культурой и спортом предоставлено 501 единица спортивных сооружений (АППГ – 500), в том числе: 326 – муниципальных. Обеспеченность спортивными сооружениями составляет 49,15% (АППГ – 48,95 %).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целях популяризации физической культуры и массового спорта среди населения, формирования здорового образа жизни в 2025 году проведен ряд мероприятий: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1. В рамках реализации на территории Уссурийского городского округа федерального проекта «Старшее поколение» национального проекта «Семья» с целью формирования и развития мотивации граждан </w:t>
      </w:r>
      <w:proofErr w:type="spellStart"/>
      <w:r>
        <w:rPr>
          <w:rFonts w:ascii="Times New Roman" w:eastAsia="Times New Roman" w:hAnsi="Times New Roman" w:cs="Times New Roman"/>
          <w:sz w:val="28"/>
          <w:szCs w:val="28"/>
        </w:rPr>
        <w:t>предпенсионного</w:t>
      </w:r>
      <w:proofErr w:type="spellEnd"/>
      <w:r>
        <w:rPr>
          <w:rFonts w:ascii="Times New Roman" w:eastAsia="Times New Roman" w:hAnsi="Times New Roman" w:cs="Times New Roman"/>
          <w:sz w:val="28"/>
          <w:szCs w:val="28"/>
        </w:rPr>
        <w:t xml:space="preserve"> и пенсионного возраста к занятиям спортом еженедельно, в течение 12 месяцев 2025 года проводились следующие мероприятия спортивной направленности: </w:t>
      </w:r>
      <w:proofErr w:type="spellStart"/>
      <w:r>
        <w:rPr>
          <w:rFonts w:ascii="Times New Roman" w:eastAsia="Times New Roman" w:hAnsi="Times New Roman" w:cs="Times New Roman"/>
          <w:sz w:val="28"/>
          <w:szCs w:val="28"/>
        </w:rPr>
        <w:t>коуч-йога</w:t>
      </w:r>
      <w:proofErr w:type="spellEnd"/>
      <w:r>
        <w:rPr>
          <w:rFonts w:ascii="Times New Roman" w:eastAsia="Times New Roman" w:hAnsi="Times New Roman" w:cs="Times New Roman"/>
          <w:sz w:val="28"/>
          <w:szCs w:val="28"/>
        </w:rPr>
        <w:t xml:space="preserve">, плавание, гимнастика </w:t>
      </w:r>
      <w:proofErr w:type="spellStart"/>
      <w:r>
        <w:rPr>
          <w:rFonts w:ascii="Times New Roman" w:eastAsia="Times New Roman" w:hAnsi="Times New Roman" w:cs="Times New Roman"/>
          <w:sz w:val="28"/>
          <w:szCs w:val="28"/>
        </w:rPr>
        <w:t>Тайцзицюа́нь</w:t>
      </w:r>
      <w:proofErr w:type="spellEnd"/>
      <w:r>
        <w:rPr>
          <w:rFonts w:ascii="Times New Roman" w:eastAsia="Times New Roman" w:hAnsi="Times New Roman" w:cs="Times New Roman"/>
          <w:sz w:val="28"/>
          <w:szCs w:val="28"/>
        </w:rPr>
        <w:t xml:space="preserve">, гимнастика </w:t>
      </w:r>
      <w:proofErr w:type="spellStart"/>
      <w:r>
        <w:rPr>
          <w:rFonts w:ascii="Times New Roman" w:eastAsia="Times New Roman" w:hAnsi="Times New Roman" w:cs="Times New Roman"/>
          <w:sz w:val="28"/>
          <w:szCs w:val="28"/>
        </w:rPr>
        <w:t>Цигун</w:t>
      </w:r>
      <w:proofErr w:type="spellEnd"/>
      <w:r>
        <w:rPr>
          <w:rFonts w:ascii="Times New Roman" w:eastAsia="Times New Roman" w:hAnsi="Times New Roman" w:cs="Times New Roman"/>
          <w:sz w:val="28"/>
          <w:szCs w:val="28"/>
        </w:rPr>
        <w:t xml:space="preserve">, скандинавская ходьба, настольный теннис, </w:t>
      </w:r>
      <w:proofErr w:type="spellStart"/>
      <w:r>
        <w:rPr>
          <w:rFonts w:ascii="Times New Roman" w:eastAsia="Times New Roman" w:hAnsi="Times New Roman" w:cs="Times New Roman"/>
          <w:sz w:val="28"/>
          <w:szCs w:val="28"/>
        </w:rPr>
        <w:t>дартс</w:t>
      </w:r>
      <w:proofErr w:type="spellEnd"/>
      <w:r>
        <w:rPr>
          <w:rFonts w:ascii="Times New Roman" w:eastAsia="Times New Roman" w:hAnsi="Times New Roman" w:cs="Times New Roman"/>
          <w:sz w:val="28"/>
          <w:szCs w:val="28"/>
        </w:rPr>
        <w:t xml:space="preserve">, осуществлялась реализация социального проекта «Зажигаем не по </w:t>
      </w:r>
      <w:proofErr w:type="spellStart"/>
      <w:r>
        <w:rPr>
          <w:rFonts w:ascii="Times New Roman" w:eastAsia="Times New Roman" w:hAnsi="Times New Roman" w:cs="Times New Roman"/>
          <w:sz w:val="28"/>
          <w:szCs w:val="28"/>
        </w:rPr>
        <w:t>ДЕДски</w:t>
      </w:r>
      <w:proofErr w:type="spellEnd"/>
      <w:r>
        <w:rPr>
          <w:rFonts w:ascii="Times New Roman" w:eastAsia="Times New Roman" w:hAnsi="Times New Roman" w:cs="Times New Roman"/>
          <w:sz w:val="28"/>
          <w:szCs w:val="28"/>
        </w:rPr>
        <w:t xml:space="preserve"> в Приморье» 58+. Все занятия проводились с привлечением инструкторов-общественников.  Общее количество проведенных тематических мероприятий составило 23315 </w:t>
      </w:r>
      <w:proofErr w:type="spellStart"/>
      <w:r>
        <w:rPr>
          <w:rFonts w:ascii="Times New Roman" w:eastAsia="Times New Roman" w:hAnsi="Times New Roman" w:cs="Times New Roman"/>
          <w:sz w:val="28"/>
          <w:szCs w:val="28"/>
        </w:rPr>
        <w:t>человеко</w:t>
      </w:r>
      <w:proofErr w:type="spellEnd"/>
      <w:r>
        <w:rPr>
          <w:rFonts w:ascii="Times New Roman" w:eastAsia="Times New Roman" w:hAnsi="Times New Roman" w:cs="Times New Roman"/>
          <w:sz w:val="28"/>
          <w:szCs w:val="28"/>
        </w:rPr>
        <w:t>/посещений.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lastRenderedPageBreak/>
        <w:t>2. </w:t>
      </w:r>
      <w:r>
        <w:rPr>
          <w:rFonts w:ascii="Times New Roman" w:eastAsia="Times New Roman" w:hAnsi="Times New Roman" w:cs="Times New Roman"/>
          <w:sz w:val="28"/>
          <w:szCs w:val="28"/>
        </w:rPr>
        <w:t>Е</w:t>
      </w:r>
      <w:r>
        <w:rPr>
          <w:rFonts w:ascii="Times New Roman" w:eastAsia="Times New Roman" w:hAnsi="Times New Roman" w:cs="Times New Roman"/>
          <w:bCs/>
          <w:sz w:val="28"/>
          <w:szCs w:val="28"/>
        </w:rPr>
        <w:t xml:space="preserve">женедельно (2 раза в неделю) </w:t>
      </w:r>
      <w:r>
        <w:rPr>
          <w:rFonts w:ascii="Times New Roman" w:eastAsia="Times New Roman" w:hAnsi="Times New Roman" w:cs="Times New Roman"/>
          <w:sz w:val="28"/>
          <w:szCs w:val="28"/>
        </w:rPr>
        <w:t>в МАУ ДО СШ «РЕКОРД» УГО ПК с привлечением инструкторов</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общественников проводились занятия по общей физической подготовке для детей с ограниченными возможностями здоровья, в течение 12 месяцев 2025 года проведено 50 занятий (426 </w:t>
      </w:r>
      <w:proofErr w:type="spellStart"/>
      <w:r>
        <w:rPr>
          <w:rFonts w:ascii="Times New Roman" w:eastAsia="Times New Roman" w:hAnsi="Times New Roman" w:cs="Times New Roman"/>
          <w:sz w:val="28"/>
          <w:szCs w:val="28"/>
        </w:rPr>
        <w:t>человеко</w:t>
      </w:r>
      <w:proofErr w:type="spellEnd"/>
      <w:r>
        <w:rPr>
          <w:rFonts w:ascii="Times New Roman" w:eastAsia="Times New Roman" w:hAnsi="Times New Roman" w:cs="Times New Roman"/>
          <w:sz w:val="28"/>
          <w:szCs w:val="28"/>
        </w:rPr>
        <w:t>/посещений).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3. В соответствии с Календарным планом официальных физкультурных мероприятий и спортивных мероприятий Уссурийского городского округа Приморского края на 2025 год, утвержденным постановлением администрации Уссурийского городского округа Приморского края от 09 декабря 2024 года № 6899, в </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rPr>
        <w:t>-IV кварталах 2025 года на территории Уссурийского городского округа проведено 532 физкультурно-спортивных мероприятий аналогичный период прошлого года (далее - АППГ – 583), в которых приняло участие 46808 спортсменов (АППГ – 47791 спортсмен), число зрителей составило 38846 человек (АППГ – 46004 человека).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На соревнования краевого, регионального, всероссийского и международного уровней направлено 7100 спортсменов (АППГ – 6755 спортсменов). Из них победителями и призерами стали 3434 человека (АППГ – 3006 человек), 1 место – 1373 человека, 2 место – 987 человек, 3 место – 1074 человека.</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Наряду с этим, в течение 2025 года на краевом и всероссийском уровнях сборная команда Уссурийского городского округа Приморского края приняла участие в следующих мероприятиях:</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краевой фестиваль «ВФСК ГТО» среди трудовых коллективов Приморского края, 05-07 марта 2025 г., г. Владивосток, 5 общекомандное место;</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краевой фестиваль «Готов к труду и обороне» среди обучающихся организаций высшего образования, посвященный празднованию 80-летия Победы советского народа в Великой Отечественной войне 1941-1945 года, 09-11 апреля 2025 г., г. Владивосток, 4 общекомандное место;</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lastRenderedPageBreak/>
        <w:t>краевые соревнования «Кубок Защитника Отечества», посвященные памяти вице-губернатора Приморского края Ефремова Сергея Викторовича, 12 апреля 2025 г., г. Владивосток, команда Уссурийского городского округа 27 человек;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краевая Спартакиада молодежи допризывного возраста – этап всероссийских соревнований, 16-20 апреля 2025 г., г. Арсеньев, 3 общекомандное место;</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межмуниципальное физкультурное мероприятие «Гонка ГТО», проводимое совместно с Правительством Приморского края, спортивно-патриотической акции «Эстафета Победы», 08 мая 2025 г., г Владивосток, два первых общекомандных места;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краевой летний фестиваль «Вперед ВФСК ГТО» среди обучающихся общеобразовательных организаций, 20-22 мая 2025 г., г. Владивосток, 5 общекомандное место;</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краевой фестиваль «Готов к труду и обороне» среди обучающихся профессиональных образовательных организаций, 27-29 мая 2025 г., г. Владивосток, 5 общекомандное место;</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краевая спартакиада пенсионеров, 03-06 июля 2025 г., г. Арсеньев, </w:t>
      </w:r>
      <w:r>
        <w:rPr>
          <w:rFonts w:ascii="Times New Roman" w:eastAsia="Times New Roman" w:hAnsi="Times New Roman" w:cs="Times New Roman"/>
          <w:color w:val="000000"/>
          <w:sz w:val="28"/>
          <w:szCs w:val="28"/>
        </w:rPr>
        <w:t>1 общекомандное место;</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краевая спартакиада среди детей с ограниченными возможностями здоровья, 18-21 сентября 2025 г., г. </w:t>
      </w:r>
      <w:proofErr w:type="spellStart"/>
      <w:r>
        <w:rPr>
          <w:rFonts w:ascii="Times New Roman" w:eastAsia="Times New Roman" w:hAnsi="Times New Roman" w:cs="Times New Roman"/>
          <w:sz w:val="28"/>
          <w:szCs w:val="28"/>
        </w:rPr>
        <w:t>Спасск-Дальний</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3 общекомандное место;</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краевая спартакиада «</w:t>
      </w:r>
      <w:proofErr w:type="spellStart"/>
      <w:r>
        <w:rPr>
          <w:rFonts w:ascii="Times New Roman" w:eastAsia="Times New Roman" w:hAnsi="Times New Roman" w:cs="Times New Roman"/>
          <w:sz w:val="28"/>
          <w:szCs w:val="28"/>
        </w:rPr>
        <w:t>Инваспорт</w:t>
      </w:r>
      <w:proofErr w:type="spellEnd"/>
      <w:r>
        <w:rPr>
          <w:rFonts w:ascii="Times New Roman" w:eastAsia="Times New Roman" w:hAnsi="Times New Roman" w:cs="Times New Roman"/>
          <w:sz w:val="28"/>
          <w:szCs w:val="28"/>
        </w:rPr>
        <w:t xml:space="preserve">» среди людей с ограниченными возможностями здоровья, 01-05 ноября 2025 г., г. Уссурийск, </w:t>
      </w:r>
      <w:r>
        <w:rPr>
          <w:rFonts w:ascii="Times New Roman" w:eastAsia="Times New Roman" w:hAnsi="Times New Roman" w:cs="Times New Roman"/>
          <w:color w:val="000000"/>
          <w:sz w:val="28"/>
          <w:szCs w:val="28"/>
        </w:rPr>
        <w:t>1 общекомандное место.</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целях стимулирования деятельности спортсменов, тренеров, руководителей физического воспитания, физкультурно-спортивных организаций и спортивных инструкторов Уссурийского городского округа ежеквартально, в течение 12 месяцев 2025 года, проводились заседания комиссии по присуждению премии администрации Уссурийского городского </w:t>
      </w:r>
      <w:r>
        <w:rPr>
          <w:rFonts w:ascii="Times New Roman" w:eastAsia="Times New Roman" w:hAnsi="Times New Roman" w:cs="Times New Roman"/>
          <w:sz w:val="28"/>
          <w:szCs w:val="28"/>
        </w:rPr>
        <w:lastRenderedPageBreak/>
        <w:t>округа Приморского края лучшим спортсменам, тренерам, руководителям физического воспитания, физкультурно-спортивных организаций и спортивных инструкторов Уссурийского городского округа Приморского края. По итогам работы комиссий премия присуждена лучшим спортсменам, тренерам, руководителям физического воспитания, физкультурно-спортивных организаций и спортивным инструкторам Уссурийского городского округа Приморского края в количестве 1736 человек.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 2014 года внедрен механизм возмещения затрат, связанных с подготовкой к зимнему периоду и содержанием хоккейных коробок, расположенных на придомовых территориях и близлежащих территориях общеобразовательных организаций округа.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на подготовку и заливку плоскостных спортивных сооружений (хоккейные коробки) в количестве 5 объектов, расположенных на придомовых территориях многоквартирных жилых домов                                  и 17 плоскостных спортивных сооружений, расположенных на территориях общеобразовательных организаций Уссурийского городского округа из средств местного бюджета израсходовано 500,00 тыс.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 2014 году на территории округа реализуется порядок предоставления субсидий </w:t>
      </w:r>
      <w:r>
        <w:rPr>
          <w:rFonts w:ascii="Times New Roman" w:eastAsia="Times New Roman" w:hAnsi="Times New Roman" w:cs="Times New Roman"/>
          <w:bCs/>
          <w:sz w:val="28"/>
          <w:szCs w:val="28"/>
        </w:rPr>
        <w:t>физкультурно-спортивным организациям на возмещение части затрат, связанных с организацией проведения официальных муниципальных физкультурных и спортивных мероприятий Уссурийского городского округа Приморского края и участием спортивных сборных команд Уссурийского городского округа Приморского края в официальных спортивных соревнованиях</w:t>
      </w:r>
      <w:r>
        <w:rPr>
          <w:rFonts w:ascii="Times New Roman" w:eastAsia="Times New Roman" w:hAnsi="Times New Roman" w:cs="Times New Roman"/>
          <w:sz w:val="28"/>
          <w:szCs w:val="28"/>
        </w:rPr>
        <w:t xml:space="preserve"> (далее – Порядок).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соответствии с данным Порядком физкультурно-спортивным федерациям предоставляется субсидия из средств местного бюджета. При распределении размера субсидии учитываются показатели деятельности федерации за год, в том числе: общая численность занимающихся спортом, </w:t>
      </w:r>
      <w:r>
        <w:rPr>
          <w:rFonts w:ascii="Times New Roman" w:eastAsia="Times New Roman" w:hAnsi="Times New Roman" w:cs="Times New Roman"/>
          <w:sz w:val="28"/>
          <w:szCs w:val="28"/>
        </w:rPr>
        <w:lastRenderedPageBreak/>
        <w:t>количество проведенных соревнований, общая численность призеров соревнований различных уровней.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14 спортивных федераций и клубов получили субсидирование в размере 5 млн. рублей.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4. Во исполнение Указа Президента Российской Федерации В.В. Путина от 07 мая 2024 г. № 309 «О национальных целях развития Российской Федерации на период до 2030 года и на перспективу до 2036» в течение 2025 велась следующая работа:</w:t>
      </w:r>
    </w:p>
    <w:p w:rsidR="00B52DE3" w:rsidRDefault="00DE73E3">
      <w:pPr>
        <w:spacing w:after="0" w:line="360" w:lineRule="auto"/>
        <w:ind w:firstLine="567"/>
        <w:jc w:val="both"/>
        <w:outlineLvl w:val="0"/>
        <w:rPr>
          <w:rFonts w:ascii="Times New Roman" w:hAnsi="Times New Roman" w:cs="Times New Roman"/>
        </w:rPr>
      </w:pPr>
      <w:bookmarkStart w:id="91" w:name="_Toc86"/>
      <w:r>
        <w:rPr>
          <w:rFonts w:ascii="Times New Roman" w:eastAsia="Times New Roman" w:hAnsi="Times New Roman" w:cs="Times New Roman"/>
          <w:sz w:val="28"/>
          <w:szCs w:val="28"/>
        </w:rPr>
        <w:t>в рамках реализации федерального проекта «Старшее поколение» национального проекта «Семья» утверждена региональная программа «Приморье – край, дружественный долголетию» на 2025 - 2030 годы (далее - Программа). В рамках Программы на территории Уссурийского городского округа трудоустроено 10 инструкторов по работе со старшим поколением, количество занимающихся в течении 2025 года составило 1631 человек.</w:t>
      </w:r>
      <w:bookmarkEnd w:id="91"/>
    </w:p>
    <w:p w:rsidR="00B52DE3" w:rsidRDefault="00DE73E3">
      <w:pPr>
        <w:spacing w:line="240" w:lineRule="auto"/>
        <w:jc w:val="center"/>
        <w:rPr>
          <w:rFonts w:ascii="Times New Roman" w:hAnsi="Times New Roman" w:cs="Times New Roman"/>
        </w:rPr>
      </w:pPr>
      <w:r>
        <w:rPr>
          <w:rFonts w:ascii="Times New Roman" w:eastAsia="Times New Roman" w:hAnsi="Times New Roman" w:cs="Times New Roman"/>
          <w:sz w:val="28"/>
          <w:szCs w:val="28"/>
        </w:rPr>
        <w:t>Информация                                                                                                                     о показателях регионального проекта «Спорт – норма жизни», запланированных к достижению в 2026 году</w:t>
      </w:r>
    </w:p>
    <w:tbl>
      <w:tblPr>
        <w:tblW w:w="9464" w:type="dxa"/>
        <w:tblInd w:w="-113" w:type="dxa"/>
        <w:tblLayout w:type="fixed"/>
        <w:tblLook w:val="04A0"/>
      </w:tblPr>
      <w:tblGrid>
        <w:gridCol w:w="4643"/>
        <w:gridCol w:w="2411"/>
        <w:gridCol w:w="2410"/>
      </w:tblGrid>
      <w:tr w:rsidR="00B52DE3">
        <w:tc>
          <w:tcPr>
            <w:tcW w:w="4643"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rPr>
            </w:pPr>
            <w:r>
              <w:rPr>
                <w:rFonts w:ascii="Times New Roman" w:eastAsia="Times New Roman" w:hAnsi="Times New Roman" w:cs="Times New Roman"/>
                <w:sz w:val="28"/>
                <w:szCs w:val="28"/>
              </w:rPr>
              <w:t>Наименование показателя</w:t>
            </w:r>
          </w:p>
        </w:tc>
        <w:tc>
          <w:tcPr>
            <w:tcW w:w="241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rPr>
            </w:pPr>
            <w:r>
              <w:rPr>
                <w:rFonts w:ascii="Times New Roman" w:eastAsia="Times New Roman" w:hAnsi="Times New Roman" w:cs="Times New Roman"/>
                <w:sz w:val="28"/>
                <w:szCs w:val="28"/>
              </w:rPr>
              <w:t>Единица измерения</w:t>
            </w:r>
          </w:p>
        </w:tc>
        <w:tc>
          <w:tcPr>
            <w:tcW w:w="2410"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rPr>
            </w:pPr>
            <w:r>
              <w:rPr>
                <w:rFonts w:ascii="Times New Roman" w:eastAsia="Times New Roman" w:hAnsi="Times New Roman" w:cs="Times New Roman"/>
                <w:sz w:val="28"/>
                <w:szCs w:val="28"/>
              </w:rPr>
              <w:t>Плановое значение</w:t>
            </w:r>
          </w:p>
          <w:p w:rsidR="00B52DE3" w:rsidRDefault="00DE73E3">
            <w:pPr>
              <w:jc w:val="center"/>
              <w:rPr>
                <w:rFonts w:ascii="Times New Roman" w:hAnsi="Times New Roman" w:cs="Times New Roman"/>
              </w:rPr>
            </w:pPr>
            <w:r>
              <w:rPr>
                <w:rFonts w:ascii="Times New Roman" w:eastAsia="Times New Roman" w:hAnsi="Times New Roman" w:cs="Times New Roman"/>
                <w:sz w:val="28"/>
                <w:szCs w:val="28"/>
              </w:rPr>
              <w:t>на 2026 год</w:t>
            </w:r>
          </w:p>
        </w:tc>
      </w:tr>
      <w:tr w:rsidR="00B52DE3">
        <w:tc>
          <w:tcPr>
            <w:tcW w:w="464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color w:val="000000"/>
                <w:sz w:val="28"/>
                <w:szCs w:val="28"/>
              </w:rPr>
              <w:t>доля населения, систематически занимающегося физической культурой и спортом, в общей численности населения в возрасте              3-79 лет</w:t>
            </w:r>
          </w:p>
        </w:tc>
        <w:tc>
          <w:tcPr>
            <w:tcW w:w="241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rPr>
            </w:pPr>
            <w:r>
              <w:rPr>
                <w:rFonts w:ascii="Times New Roman" w:eastAsia="Times New Roman" w:hAnsi="Times New Roman" w:cs="Times New Roman"/>
                <w:sz w:val="28"/>
                <w:szCs w:val="28"/>
              </w:rPr>
              <w:t>процент</w:t>
            </w:r>
          </w:p>
        </w:tc>
        <w:tc>
          <w:tcPr>
            <w:tcW w:w="2410"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rPr>
            </w:pPr>
            <w:r>
              <w:rPr>
                <w:rFonts w:ascii="Times New Roman" w:eastAsia="Times New Roman" w:hAnsi="Times New Roman" w:cs="Times New Roman"/>
                <w:sz w:val="28"/>
                <w:szCs w:val="28"/>
              </w:rPr>
              <w:t>60,8%</w:t>
            </w:r>
          </w:p>
        </w:tc>
      </w:tr>
      <w:tr w:rsidR="00B52DE3">
        <w:tc>
          <w:tcPr>
            <w:tcW w:w="464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line="240" w:lineRule="auto"/>
              <w:jc w:val="both"/>
              <w:rPr>
                <w:rFonts w:ascii="Times New Roman" w:hAnsi="Times New Roman" w:cs="Times New Roman"/>
              </w:rPr>
            </w:pPr>
            <w:r>
              <w:rPr>
                <w:rFonts w:ascii="Times New Roman" w:eastAsia="Times New Roman" w:hAnsi="Times New Roman" w:cs="Times New Roman"/>
                <w:color w:val="000000"/>
                <w:sz w:val="28"/>
                <w:szCs w:val="28"/>
              </w:rPr>
              <w:t>уровень обеспеченности граждан спортивными сооружениями исходя                   из единовременной пропускной способности объектов спорта</w:t>
            </w:r>
          </w:p>
        </w:tc>
        <w:tc>
          <w:tcPr>
            <w:tcW w:w="241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rPr>
            </w:pPr>
            <w:r>
              <w:rPr>
                <w:rFonts w:ascii="Times New Roman" w:eastAsia="Times New Roman" w:hAnsi="Times New Roman" w:cs="Times New Roman"/>
                <w:sz w:val="28"/>
                <w:szCs w:val="28"/>
              </w:rPr>
              <w:t>процент</w:t>
            </w:r>
          </w:p>
        </w:tc>
        <w:tc>
          <w:tcPr>
            <w:tcW w:w="2410"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rPr>
            </w:pPr>
            <w:r>
              <w:rPr>
                <w:rFonts w:ascii="Times New Roman" w:eastAsia="Times New Roman" w:hAnsi="Times New Roman" w:cs="Times New Roman"/>
                <w:sz w:val="28"/>
                <w:szCs w:val="28"/>
              </w:rPr>
              <w:t>64,89%</w:t>
            </w:r>
          </w:p>
        </w:tc>
      </w:tr>
    </w:tbl>
    <w:p w:rsidR="00B52DE3" w:rsidRDefault="00B52DE3">
      <w:pPr>
        <w:rPr>
          <w:rFonts w:ascii="Times New Roman" w:hAnsi="Times New Roman" w:cs="Times New Roman"/>
          <w:sz w:val="28"/>
          <w:szCs w:val="28"/>
        </w:rPr>
      </w:pPr>
    </w:p>
    <w:p w:rsidR="00B52DE3" w:rsidRDefault="00B52DE3">
      <w:pPr>
        <w:widowControl w:val="0"/>
        <w:spacing w:after="0" w:line="360" w:lineRule="auto"/>
        <w:ind w:firstLine="708"/>
        <w:jc w:val="both"/>
        <w:rPr>
          <w:rFonts w:ascii="Times New Roman" w:hAnsi="Times New Roman" w:cs="Times New Roman"/>
        </w:rPr>
      </w:pPr>
    </w:p>
    <w:p w:rsidR="00B52DE3" w:rsidRDefault="00DE73E3">
      <w:pPr>
        <w:pStyle w:val="1fe"/>
        <w:keepNext w:val="0"/>
        <w:keepLines w:val="0"/>
        <w:spacing w:before="0" w:line="240" w:lineRule="auto"/>
      </w:pPr>
      <w:bookmarkStart w:id="92" w:name="_Toc87"/>
      <w:r>
        <w:rPr>
          <w:rFonts w:eastAsia="Times New Roman"/>
          <w:lang w:eastAsia="ru-RU"/>
        </w:rPr>
        <w:lastRenderedPageBreak/>
        <w:t>СОЗДАНИЕ УСЛОВИЙ ДЛЯ МАССОВОГО ОТДЫХА ЖИТЕЛЕЙ МУНИЦИПАЛЬНОГО, ГОРОДСКОГО ОКРУГА И ОРГАНИЗАЦИЯ ОБУСТРОЙСТВА МЕСТ МАССОВОГО ОТДЫХА НАСЕЛЕНИЯ</w:t>
      </w:r>
      <w:bookmarkEnd w:id="92"/>
    </w:p>
    <w:p w:rsidR="00B52DE3" w:rsidRDefault="00B52DE3">
      <w:pPr>
        <w:widowControl w:val="0"/>
        <w:tabs>
          <w:tab w:val="left" w:pos="1120"/>
        </w:tabs>
        <w:spacing w:after="0" w:line="360" w:lineRule="auto"/>
        <w:ind w:firstLine="709"/>
        <w:jc w:val="center"/>
        <w:rPr>
          <w:rFonts w:ascii="Times New Roman" w:hAnsi="Times New Roman" w:cs="Times New Roman"/>
          <w:b/>
          <w:color w:val="FF0000"/>
          <w:sz w:val="28"/>
          <w:szCs w:val="28"/>
        </w:rPr>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рамках федерального проекта «Формирование комфортной городской среды Приморского края» национального проекта «Инфраструктура для жизни» благоустроены 2 общественные территории: сквер, г. Уссурийск, ул. Краснознаменная, 135б (ориентир) и сквер,                      г. Уссурийск, ул. Промышленная, 5в (ориентир).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Принято участие во Всероссийском рейтинговом голосовании по отбору общественных территорий, планируемых к благоустройству                            в 2026 году, определен победитель - дизайн-проект общественной территории, месторасположение: г. Уссурийск, ул. Володарского, 35 (Городской парк).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Проведено 18 заседаний общественной комиссии по контролю </w:t>
      </w:r>
      <w:r>
        <w:rPr>
          <w:rFonts w:ascii="Times New Roman" w:eastAsia="Times New Roman" w:hAnsi="Times New Roman" w:cs="Times New Roman"/>
          <w:sz w:val="28"/>
          <w:szCs w:val="28"/>
        </w:rPr>
        <w:br/>
        <w:t xml:space="preserve">за выполнением работ по благоустройству муниципальной программы «Формирование современной городской среды Уссурийского городского округа Приморского края» на 2018-2030 годы.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рамках реализации муниципальной программы «Благоустройство территории Уссурийского городского округа» на 2017 – 2027 годы                       в 2025 году выполнены на сумму 174298,57 тыс. рублей следующие мероприятия: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реализован проект «Территория (Парк) отдыха от жителей микрорайона по ул. Владивостокское шоссе между многоквартирными домами № 22 и № 24 В»;</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содержание территории центральной площади г. Уссурийска;</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содержание объектов благоустройства и озеленения на территории Уссурийского городского округа (скверы);  </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оказание услуг по комплексному обслуживанию модульных туалетов на объектах благоустройства и озеленения (скверов) на территории </w:t>
      </w:r>
      <w:r>
        <w:rPr>
          <w:rFonts w:ascii="Times New Roman" w:eastAsia="Times New Roman" w:hAnsi="Times New Roman" w:cs="Times New Roman"/>
          <w:sz w:val="28"/>
          <w:szCs w:val="28"/>
        </w:rPr>
        <w:lastRenderedPageBreak/>
        <w:t>Уссурийского городского округа и передаче электрической энергии (мощности) и услуг, оказание которых является неотъемлемой частью процесса поставки электрической энергии потребителю (новые скверы);</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проведение проверок, направленных на выявление повреждений, влияющих на безопасную эксплуатацию паркового оборудования, расположенного на территориях (новых) скверов в г. Уссурийске;</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содержание игрового оборудования и МАФ, установленного на территории скверов, расположенных в Уссурийском городском округе;</w:t>
      </w:r>
    </w:p>
    <w:p w:rsidR="00B52DE3" w:rsidRDefault="00DE73E3">
      <w:pPr>
        <w:widowControl w:val="0"/>
        <w:spacing w:after="0" w:line="360" w:lineRule="auto"/>
        <w:jc w:val="both"/>
        <w:rPr>
          <w:rFonts w:ascii="Times New Roman" w:hAnsi="Times New Roman" w:cs="Times New Roman"/>
        </w:rPr>
      </w:pPr>
      <w:r>
        <w:rPr>
          <w:rFonts w:ascii="Times New Roman" w:eastAsia="Times New Roman" w:hAnsi="Times New Roman" w:cs="Times New Roman"/>
          <w:sz w:val="28"/>
          <w:szCs w:val="28"/>
        </w:rPr>
        <w:t>комплексному содержанию территорий общего пользования, не переданных в аренду или собственность в 2024 году;</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ликвидация мест несанкционированного складирования бесхозяйных отходов производства и потребления на земельных участках, находящихся в собственности Уссурийского городского округа, не переданных в аренду или пользование, а также земельных участках, собственность на которые не разграничена;</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выполнение работ по подбору, транспортировке и обезвреживанию биологических отходов, в том числе трупов животных, обнаруженных в неустановленных местах (на обочинах дорог, на территориях общего пользования, земельных участках, собственность на которые не разграничена);</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содержание </w:t>
      </w:r>
      <w:proofErr w:type="spellStart"/>
      <w:r>
        <w:rPr>
          <w:rFonts w:ascii="Times New Roman" w:eastAsia="Times New Roman" w:hAnsi="Times New Roman" w:cs="Times New Roman"/>
          <w:sz w:val="28"/>
          <w:szCs w:val="28"/>
        </w:rPr>
        <w:t>неразграниченной</w:t>
      </w:r>
      <w:proofErr w:type="spellEnd"/>
      <w:r>
        <w:rPr>
          <w:rFonts w:ascii="Times New Roman" w:eastAsia="Times New Roman" w:hAnsi="Times New Roman" w:cs="Times New Roman"/>
          <w:sz w:val="28"/>
          <w:szCs w:val="28"/>
        </w:rPr>
        <w:t xml:space="preserve"> территории, прилегающей к местам накопления твердых коммунальных отходов в г. Уссурийске;</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содержание территорий общего пользования, не переданных в аренду или собственность: выкашивание зеленых зон;</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обустроена контейнерная площадка в п. Радужный, ул. Автомобильная, д.6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приобретено металлических (100 шт.) и пластиковых (103 шт.) контейнеров на сумму 4 069, 96 тыс. рублей;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согласовано создание мест (площадок) накопления твердых </w:t>
      </w:r>
      <w:r>
        <w:rPr>
          <w:rFonts w:ascii="Times New Roman" w:eastAsia="Times New Roman" w:hAnsi="Times New Roman" w:cs="Times New Roman"/>
          <w:sz w:val="28"/>
          <w:szCs w:val="28"/>
        </w:rPr>
        <w:lastRenderedPageBreak/>
        <w:t>коммунальных отходов с последующим включением сведений в реестр мест (площадок) накопления твердых коммунальных отходов - 80 шт.</w:t>
      </w:r>
    </w:p>
    <w:p w:rsidR="00B52DE3" w:rsidRDefault="00DE73E3">
      <w:pPr>
        <w:pStyle w:val="1fe"/>
        <w:keepNext w:val="0"/>
        <w:keepLines w:val="0"/>
        <w:spacing w:line="240" w:lineRule="auto"/>
        <w:rPr>
          <w:rFonts w:eastAsia="Times New Roman"/>
        </w:rPr>
      </w:pPr>
      <w:bookmarkStart w:id="93" w:name="_Toc88"/>
      <w:r>
        <w:rPr>
          <w:rFonts w:eastAsia="Times New Roman"/>
        </w:rPr>
        <w:t>ФОРМИРОВАНИЕ И СОДЕРЖАНИЕ МУНИЦИПАЛЬНОГО АРХИВА</w:t>
      </w:r>
      <w:bookmarkEnd w:id="93"/>
    </w:p>
    <w:p w:rsidR="00B52DE3" w:rsidRDefault="00B52DE3">
      <w:pPr>
        <w:pStyle w:val="1fe"/>
        <w:keepNext w:val="0"/>
        <w:keepLines w:val="0"/>
        <w:spacing w:before="0"/>
      </w:pP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2025 году МКУ «Архив» УГО ПК целенаправленно проводил работу по обеспечению сохранности, государственному учету, комплектованию и использованию документов Архивного фонда Российской Федерации и других архивных документов.</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целью выполнения плановых показателей по формированию (комплектованию) МКУ «Архив» УГО ПК принято на хранение: от организаций 1079 ед.хр. управленческой документации; ликвидированных предприятий 429 ед.хр. документов по личному составу; от граждан 37 ед.хр. документов на бумажных носителях, 380 ед.хр. фотодокументов.</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Всего за отчетный период поступило на хранение 1925 ед. хр.</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Проведено 18 заседаний экспертно-проверочной комиссии МКУ «Архив» УГО ПК. Согласовано: 1 опись дел постоянного хранения,                        25 описей дел по личному составу, 12 описей дел временного (свыше 10 лет) срока хранения, 13 номенклатур дел, 11 актов о выделении к уничтожению,     2 Положения об экспертных комиссиях.</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Упорядочены документы в количестве 5455 единиц хранения, в том числе: 1018 ед.хр. управленческой документации, 2 ед.хр. фотодокументов, 172 ед.хр. документов личного происхождения, 1431 ед.хр. документов по личному составу, 2832 ед.хр. документов временного (свыше 10 лет) срока хранения.</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Организациям и предприятиям всех форм собственности по вопросам делопроизводства, составлению номенклатур дел, описей дел, справочного аппарата к описям, исторических справок к фондам, инструкций по </w:t>
      </w:r>
      <w:r>
        <w:rPr>
          <w:rFonts w:ascii="Times New Roman" w:eastAsia="Times New Roman" w:hAnsi="Times New Roman" w:cs="Times New Roman"/>
          <w:sz w:val="28"/>
          <w:szCs w:val="28"/>
        </w:rPr>
        <w:lastRenderedPageBreak/>
        <w:t>делопроизводству, организации ведомственного хранения документов сотрудниками МКУ «Архив» УГО ПК оказано 84 консультации.</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Оказана консультация в области архивного дела – 492 юридическим и физическим лицам.</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2025 году в МКУ «Архив» УГО ПК поступило 3277 запросов. Было исполнено 3236. Из них связанных с пенсионным обеспечением граждан – 1847 запросов. Имущественного характера – 1389 запросов. </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Проводилась работа с исследователями. Сотрудниками МКУ «Архив» УГО ПК было принято 69 пользователей.</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целях обеспечения сохранности архивных документов проведено </w:t>
      </w:r>
      <w:proofErr w:type="spellStart"/>
      <w:r>
        <w:rPr>
          <w:rFonts w:ascii="Times New Roman" w:eastAsia="Times New Roman" w:hAnsi="Times New Roman" w:cs="Times New Roman"/>
          <w:sz w:val="28"/>
          <w:szCs w:val="28"/>
        </w:rPr>
        <w:t>картонирование</w:t>
      </w:r>
      <w:proofErr w:type="spellEnd"/>
      <w:r>
        <w:rPr>
          <w:rFonts w:ascii="Times New Roman" w:eastAsia="Times New Roman" w:hAnsi="Times New Roman" w:cs="Times New Roman"/>
          <w:sz w:val="28"/>
          <w:szCs w:val="28"/>
        </w:rPr>
        <w:t xml:space="preserve"> 2723 единиц хранения, сверка наличия 13 архивного фонда на 818 единиц хранения, реставрация и подшивка 86 единиц хранения.</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Проводились мероприятия по информатизации архивного дела. Оцифровано и размещено на сайте 5 описей дел. Продолжена работа по ведению БД «Архивный фонд 5.0.7».</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исполнении социально-правовых запросов для территориальных органов СФР осуществляется электронное взаимодействие с использованием Личного кабинета архива в Единой централизованной цифровой платформе в социальной сфере.</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Подготовлены 1 тематическая выставка к 80-летию празднования Победы в ВОВ по теме: «Гумённые - семья ветеранов ВОВ» (стенд размещен в здании архива, электронный вариант размещен на сайте). Проведено 13 экскурсий по архиву для студентов (225 человек); 2 урока по теме: «Современная оргтехника в делопроизводстве и архиве» (35 человек); 10 уроков по теме: «Организация хранения документов архивного фонда Российской Федерации и других архивных документов в организациях» (175 человек); 1 урок, посвященный 80-летию победы в ВОВ, на котором представлена публикация об участнике ВОВ, герое Советского Союза, почетном гражданине г. Уссурийска - Якимовиче Николае Кондратьевиче (15 </w:t>
      </w:r>
      <w:r>
        <w:rPr>
          <w:rFonts w:ascii="Times New Roman" w:eastAsia="Times New Roman" w:hAnsi="Times New Roman" w:cs="Times New Roman"/>
          <w:sz w:val="28"/>
          <w:szCs w:val="28"/>
        </w:rPr>
        <w:lastRenderedPageBreak/>
        <w:t xml:space="preserve">человек), 1 учеба для ответственных за делопроизводство и архив организаций-источников комплектования МКУ «Архив» УГО ПК по теме: «Составление паспорта ведомственного архива» (23 человека). Подготовлено 40 публикаций архивных и информационных документов в </w:t>
      </w:r>
      <w:proofErr w:type="spellStart"/>
      <w:r>
        <w:rPr>
          <w:rFonts w:ascii="Times New Roman" w:eastAsia="Times New Roman" w:hAnsi="Times New Roman" w:cs="Times New Roman"/>
          <w:sz w:val="28"/>
          <w:szCs w:val="28"/>
        </w:rPr>
        <w:t>соцсетях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ВКонтакте</w:t>
      </w:r>
      <w:proofErr w:type="spellEnd"/>
      <w:r>
        <w:rPr>
          <w:rFonts w:ascii="Times New Roman" w:eastAsia="Times New Roman" w:hAnsi="Times New Roman" w:cs="Times New Roman"/>
          <w:sz w:val="28"/>
          <w:szCs w:val="28"/>
        </w:rPr>
        <w:t>, Одноклассники).</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pStyle w:val="1fe"/>
        <w:keepNext w:val="0"/>
        <w:keepLines w:val="0"/>
        <w:spacing w:before="0" w:line="240" w:lineRule="auto"/>
      </w:pPr>
      <w:bookmarkStart w:id="94" w:name="_Toc89"/>
      <w:r>
        <w:rPr>
          <w:rFonts w:eastAsia="Times New Roman"/>
          <w:lang w:eastAsia="ru-RU"/>
        </w:rPr>
        <w:t>ОРГАНИЗАЦИЯ РИТУАЛЬНЫХ УСЛУГ И СОДЕРЖАНИЕ МЕСТ ЗАХОРОНЕНИЯ</w:t>
      </w:r>
      <w:bookmarkEnd w:id="94"/>
    </w:p>
    <w:p w:rsidR="00B52DE3" w:rsidRDefault="00B52DE3">
      <w:pPr>
        <w:pStyle w:val="1fe"/>
        <w:keepNext w:val="0"/>
        <w:keepLines w:val="0"/>
        <w:spacing w:before="0" w:line="240" w:lineRule="auto"/>
      </w:pPr>
    </w:p>
    <w:p w:rsidR="00B52DE3" w:rsidRDefault="00DE73E3">
      <w:pPr>
        <w:widowControl w:val="0"/>
        <w:tabs>
          <w:tab w:val="left" w:pos="0"/>
        </w:tabs>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рамках реализации муниципальной программы «Развитие сферы ритуальных услуг и похоронного дела на территории Уссурийского городского округа» следующие мероприятия: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захоронение 59 безродных граждан, приобретение гробов </w:t>
      </w:r>
      <w:r>
        <w:rPr>
          <w:rFonts w:ascii="Times New Roman" w:eastAsia="Times New Roman" w:hAnsi="Times New Roman" w:cs="Times New Roman"/>
          <w:sz w:val="28"/>
          <w:szCs w:val="28"/>
        </w:rPr>
        <w:br/>
        <w:t>и регистрационных знаков для погребения безродных граждан;</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выдача 1764 разрешений на захоронение на кладбищах г. Уссурийска и с. </w:t>
      </w:r>
      <w:proofErr w:type="spellStart"/>
      <w:r>
        <w:rPr>
          <w:rFonts w:ascii="Times New Roman" w:eastAsia="Times New Roman" w:hAnsi="Times New Roman" w:cs="Times New Roman"/>
          <w:sz w:val="28"/>
          <w:szCs w:val="28"/>
        </w:rPr>
        <w:t>Новоникольск</w:t>
      </w:r>
      <w:proofErr w:type="spellEnd"/>
      <w:r>
        <w:rPr>
          <w:rFonts w:ascii="Times New Roman" w:eastAsia="Times New Roman" w:hAnsi="Times New Roman" w:cs="Times New Roman"/>
          <w:sz w:val="28"/>
          <w:szCs w:val="28"/>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выдача 1970 разрешений на произведение работ на кладбищах </w:t>
      </w:r>
      <w:r>
        <w:rPr>
          <w:rFonts w:ascii="Times New Roman" w:eastAsia="Times New Roman" w:hAnsi="Times New Roman" w:cs="Times New Roman"/>
          <w:sz w:val="28"/>
          <w:szCs w:val="28"/>
        </w:rPr>
        <w:br/>
        <w:t xml:space="preserve">г. Уссурийска и с. </w:t>
      </w:r>
      <w:proofErr w:type="spellStart"/>
      <w:r>
        <w:rPr>
          <w:rFonts w:ascii="Times New Roman" w:eastAsia="Times New Roman" w:hAnsi="Times New Roman" w:cs="Times New Roman"/>
          <w:sz w:val="28"/>
          <w:szCs w:val="28"/>
        </w:rPr>
        <w:t>Новоникольск</w:t>
      </w:r>
      <w:proofErr w:type="spellEnd"/>
      <w:r>
        <w:rPr>
          <w:rFonts w:ascii="Times New Roman" w:eastAsia="Times New Roman" w:hAnsi="Times New Roman" w:cs="Times New Roman"/>
          <w:sz w:val="28"/>
          <w:szCs w:val="28"/>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отработка поручений и обращений граждан 580 шт.;</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выдача 600 справок о захоронении на кладбищах г. Уссурийска </w:t>
      </w:r>
      <w:r>
        <w:rPr>
          <w:rFonts w:ascii="Times New Roman" w:eastAsia="Times New Roman" w:hAnsi="Times New Roman" w:cs="Times New Roman"/>
          <w:sz w:val="28"/>
          <w:szCs w:val="28"/>
        </w:rPr>
        <w:br/>
        <w:t xml:space="preserve">и с. </w:t>
      </w:r>
      <w:proofErr w:type="spellStart"/>
      <w:r>
        <w:rPr>
          <w:rFonts w:ascii="Times New Roman" w:eastAsia="Times New Roman" w:hAnsi="Times New Roman" w:cs="Times New Roman"/>
          <w:sz w:val="28"/>
          <w:szCs w:val="28"/>
        </w:rPr>
        <w:t>Новоникольск</w:t>
      </w:r>
      <w:proofErr w:type="spellEnd"/>
      <w:r>
        <w:rPr>
          <w:rFonts w:ascii="Times New Roman" w:eastAsia="Times New Roman" w:hAnsi="Times New Roman" w:cs="Times New Roman"/>
          <w:sz w:val="28"/>
          <w:szCs w:val="28"/>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уборка мусора на кладбищах Уссурийского городского округа Приморского края – 5 000 м</w:t>
      </w:r>
      <w:r>
        <w:rPr>
          <w:rFonts w:ascii="Times New Roman" w:eastAsia="Times New Roman" w:hAnsi="Times New Roman" w:cs="Times New Roman"/>
          <w:sz w:val="28"/>
          <w:szCs w:val="28"/>
          <w:vertAlign w:val="superscript"/>
        </w:rPr>
        <w:t xml:space="preserve">3 </w:t>
      </w:r>
      <w:r>
        <w:rPr>
          <w:rFonts w:ascii="Times New Roman" w:eastAsia="Times New Roman" w:hAnsi="Times New Roman" w:cs="Times New Roman"/>
          <w:sz w:val="28"/>
          <w:szCs w:val="28"/>
        </w:rPr>
        <w:t>на сумму 6 951 497,94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покос травы на кладбищах Уссурийского городского округа Приморского края – 100 000 м</w:t>
      </w:r>
      <w:r>
        <w:rPr>
          <w:rFonts w:ascii="Times New Roman" w:eastAsia="Times New Roman" w:hAnsi="Times New Roman" w:cs="Times New Roman"/>
          <w:sz w:val="28"/>
          <w:szCs w:val="28"/>
          <w:vertAlign w:val="superscript"/>
        </w:rPr>
        <w:t xml:space="preserve">2 </w:t>
      </w:r>
      <w:r>
        <w:rPr>
          <w:rFonts w:ascii="Times New Roman" w:eastAsia="Times New Roman" w:hAnsi="Times New Roman" w:cs="Times New Roman"/>
          <w:sz w:val="28"/>
          <w:szCs w:val="28"/>
        </w:rPr>
        <w:t xml:space="preserve"> на сумму 572828,08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снос аварийных деревьев на кладбищах Уссурийского городского округа Приморского края – 118 </w:t>
      </w:r>
      <w:proofErr w:type="spellStart"/>
      <w:r>
        <w:rPr>
          <w:rFonts w:ascii="Times New Roman" w:eastAsia="Times New Roman" w:hAnsi="Times New Roman" w:cs="Times New Roman"/>
          <w:sz w:val="28"/>
          <w:szCs w:val="28"/>
        </w:rPr>
        <w:t>шт</w:t>
      </w:r>
      <w:proofErr w:type="spellEnd"/>
      <w:r>
        <w:rPr>
          <w:rFonts w:ascii="Times New Roman" w:eastAsia="Times New Roman" w:hAnsi="Times New Roman" w:cs="Times New Roman"/>
          <w:sz w:val="28"/>
          <w:szCs w:val="28"/>
        </w:rPr>
        <w:t xml:space="preserve">, санитарная обрезка деревьев на кладбищах Уссурийского городского округа Приморского края – 23 </w:t>
      </w:r>
      <w:proofErr w:type="spellStart"/>
      <w:r>
        <w:rPr>
          <w:rFonts w:ascii="Times New Roman" w:eastAsia="Times New Roman" w:hAnsi="Times New Roman" w:cs="Times New Roman"/>
          <w:sz w:val="28"/>
          <w:szCs w:val="28"/>
        </w:rPr>
        <w:t>шт</w:t>
      </w:r>
      <w:proofErr w:type="spellEnd"/>
      <w:r>
        <w:rPr>
          <w:rFonts w:ascii="Times New Roman" w:eastAsia="Times New Roman" w:hAnsi="Times New Roman" w:cs="Times New Roman"/>
          <w:sz w:val="28"/>
          <w:szCs w:val="28"/>
        </w:rPr>
        <w:t>, уборка упавших деревьев на кладбищах Уссурийского городского округа Приморского края – 58,45 плотных м</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 xml:space="preserve">  на общую сумму 999 829,74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содержание и благоустройство объектов культурного наследия, переданных в оперативное управление МКУ «СЕЗЗ» (уборка мусора, влажная очистка памятников, покос травы) на сумму 208 663,30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выдача пропусков для проезда на кладбище по ул. Русская в период проведения </w:t>
      </w:r>
      <w:proofErr w:type="spellStart"/>
      <w:r>
        <w:rPr>
          <w:rFonts w:ascii="Times New Roman" w:eastAsia="Times New Roman" w:hAnsi="Times New Roman" w:cs="Times New Roman"/>
          <w:sz w:val="28"/>
          <w:szCs w:val="28"/>
        </w:rPr>
        <w:t>Радоницы</w:t>
      </w:r>
      <w:proofErr w:type="spellEnd"/>
      <w:r>
        <w:rPr>
          <w:rFonts w:ascii="Times New Roman" w:eastAsia="Times New Roman" w:hAnsi="Times New Roman" w:cs="Times New Roman"/>
          <w:sz w:val="28"/>
          <w:szCs w:val="28"/>
        </w:rPr>
        <w:t xml:space="preserve"> – 1500 шт.;</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асфальтирование дорог и проездов на кладбище с. </w:t>
      </w:r>
      <w:proofErr w:type="spellStart"/>
      <w:r>
        <w:rPr>
          <w:rFonts w:ascii="Times New Roman" w:eastAsia="Times New Roman" w:hAnsi="Times New Roman" w:cs="Times New Roman"/>
          <w:sz w:val="28"/>
          <w:szCs w:val="28"/>
        </w:rPr>
        <w:t>Новоникольск</w:t>
      </w:r>
      <w:proofErr w:type="spellEnd"/>
      <w:r>
        <w:rPr>
          <w:rFonts w:ascii="Times New Roman" w:eastAsia="Times New Roman" w:hAnsi="Times New Roman" w:cs="Times New Roman"/>
          <w:sz w:val="28"/>
          <w:szCs w:val="28"/>
        </w:rPr>
        <w:t xml:space="preserve"> протяженностью 1,5 км. на сумму 15 816 303,15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благоустройство Аллеи Славы на кладбище с. </w:t>
      </w:r>
      <w:proofErr w:type="spellStart"/>
      <w:r>
        <w:rPr>
          <w:rFonts w:ascii="Times New Roman" w:eastAsia="Times New Roman" w:hAnsi="Times New Roman" w:cs="Times New Roman"/>
          <w:sz w:val="28"/>
          <w:szCs w:val="28"/>
        </w:rPr>
        <w:t>Новоникольск</w:t>
      </w:r>
      <w:proofErr w:type="spellEnd"/>
      <w:r>
        <w:rPr>
          <w:rFonts w:ascii="Times New Roman" w:eastAsia="Times New Roman" w:hAnsi="Times New Roman" w:cs="Times New Roman"/>
          <w:sz w:val="28"/>
          <w:szCs w:val="28"/>
        </w:rPr>
        <w:t xml:space="preserve"> (устройство проезда между секторами захоронений, водоотведение, посадка сосен, устройство плит перекрытия для перехода через кювет) на сумму 2 242 511,89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инвентаризация 22 кладбищ Уссурийского городского округа Приморского края на сумму 4 550165,74 руб. (2 275082,87 руб. за счет местного бюджета и 2 275082,87 руб. за счет </w:t>
      </w:r>
      <w:proofErr w:type="spellStart"/>
      <w:r>
        <w:rPr>
          <w:rFonts w:ascii="Times New Roman" w:eastAsia="Times New Roman" w:hAnsi="Times New Roman" w:cs="Times New Roman"/>
          <w:sz w:val="28"/>
          <w:szCs w:val="28"/>
        </w:rPr>
        <w:t>софинансирования</w:t>
      </w:r>
      <w:proofErr w:type="spellEnd"/>
      <w:r>
        <w:rPr>
          <w:rFonts w:ascii="Times New Roman" w:eastAsia="Times New Roman" w:hAnsi="Times New Roman" w:cs="Times New Roman"/>
          <w:sz w:val="28"/>
          <w:szCs w:val="28"/>
        </w:rPr>
        <w:t xml:space="preserve"> из краевого бюджета);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проведение экспертизы земельного участка, рассматриваемого для открытия кладбища на сумму 585 000,00 руб. (результат экспертизы отрицательный, участок под кладбище не подходит);</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противоклещевая обработка 30 кладбищ Уссурийского городского округа Приморского края на сумму 190 695,23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охрана кладбищ Уссурийского городского округа по ул. Русская и                     в с. </w:t>
      </w:r>
      <w:proofErr w:type="spellStart"/>
      <w:r>
        <w:rPr>
          <w:rFonts w:ascii="Times New Roman" w:eastAsia="Times New Roman" w:hAnsi="Times New Roman" w:cs="Times New Roman"/>
          <w:sz w:val="28"/>
          <w:szCs w:val="28"/>
        </w:rPr>
        <w:t>Глуховка</w:t>
      </w:r>
      <w:proofErr w:type="spellEnd"/>
      <w:r>
        <w:rPr>
          <w:rFonts w:ascii="Times New Roman" w:eastAsia="Times New Roman" w:hAnsi="Times New Roman" w:cs="Times New Roman"/>
          <w:sz w:val="28"/>
          <w:szCs w:val="28"/>
        </w:rPr>
        <w:t xml:space="preserve"> на сумму 6 548 434,75 руб.</w:t>
      </w:r>
    </w:p>
    <w:p w:rsidR="00B52DE3" w:rsidRDefault="00B52DE3">
      <w:pPr>
        <w:widowControl w:val="0"/>
        <w:spacing w:after="0" w:line="360" w:lineRule="auto"/>
        <w:jc w:val="both"/>
        <w:rPr>
          <w:rFonts w:ascii="Times New Roman" w:hAnsi="Times New Roman" w:cs="Times New Roman"/>
        </w:rPr>
      </w:pPr>
    </w:p>
    <w:p w:rsidR="00B52DE3" w:rsidRDefault="00DE73E3">
      <w:pPr>
        <w:pStyle w:val="1fe"/>
        <w:keepNext w:val="0"/>
        <w:keepLines w:val="0"/>
        <w:spacing w:before="0" w:line="240" w:lineRule="auto"/>
        <w:ind w:firstLine="0"/>
        <w:rPr>
          <w:rFonts w:eastAsia="Times New Roman"/>
          <w:lang w:eastAsia="ru-RU"/>
        </w:rPr>
      </w:pPr>
      <w:bookmarkStart w:id="95" w:name="_УТВЕРЖДЕНИ"/>
      <w:bookmarkStart w:id="96" w:name="_Toc90"/>
      <w:bookmarkEnd w:id="95"/>
      <w:r>
        <w:rPr>
          <w:rFonts w:eastAsia="Times New Roman"/>
          <w:lang w:eastAsia="ru-RU"/>
        </w:rPr>
        <w:t xml:space="preserve">УТВЕРЖДЕНИЕ ПРАВИЛ БЛАГОУСТРОЙСТВА ТЕРРИТОРИИ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ОСУЩЕСТВЛЕНИЕ АППГАППГНИИ </w:t>
      </w:r>
      <w:r>
        <w:rPr>
          <w:rFonts w:eastAsia="Times New Roman"/>
          <w:lang w:eastAsia="ru-RU"/>
        </w:rPr>
        <w:lastRenderedPageBreak/>
        <w:t>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bookmarkEnd w:id="96"/>
    </w:p>
    <w:p w:rsidR="00B52DE3" w:rsidRDefault="00B52DE3">
      <w:pPr>
        <w:widowControl w:val="0"/>
        <w:spacing w:after="0" w:line="240" w:lineRule="auto"/>
        <w:ind w:firstLine="708"/>
        <w:jc w:val="both"/>
        <w:rPr>
          <w:rFonts w:ascii="Times New Roman" w:hAnsi="Times New Roman" w:cs="Times New Roman"/>
          <w:b/>
          <w:bCs/>
          <w:sz w:val="28"/>
          <w:szCs w:val="28"/>
        </w:rPr>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рамках реализации муниципальной программы «Благоустройство территории Уссурийского городского округа» на 2017 – 2028 годы                      в 2025 году выполнялись работы по следующим мероприятиям:</w:t>
      </w:r>
    </w:p>
    <w:p w:rsidR="00B52DE3" w:rsidRDefault="00CE71D7">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комплексное содержание фо</w:t>
      </w:r>
      <w:r w:rsidR="00DE73E3">
        <w:rPr>
          <w:rFonts w:ascii="Times New Roman" w:eastAsia="Times New Roman" w:hAnsi="Times New Roman" w:cs="Times New Roman"/>
          <w:sz w:val="28"/>
          <w:szCs w:val="28"/>
        </w:rPr>
        <w:t>нтанов в г. Уссурийске Приморского края;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содержание объектов благоустройства и озеленения на территории Уссурийского городского округа (скверы, Центральная площадь);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оказание услуг по передаче электрической энергии (мощности) и услуг, оказание которых является неотъемлемой частью процесса поставки электрической энергии потребителю (новые скверы);</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проведение проверок, направленных на выявление повреждений, влияющих на безопасную эксплуатацию паркового оборудования, расположенного на территориях (новых) скверов в г. Уссурийске;</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составлено</w:t>
      </w:r>
      <w:r>
        <w:rPr>
          <w:rFonts w:ascii="Times New Roman" w:eastAsia="Times New Roman" w:hAnsi="Times New Roman" w:cs="Times New Roman"/>
          <w:spacing w:val="-3"/>
          <w:sz w:val="28"/>
          <w:szCs w:val="28"/>
        </w:rPr>
        <w:t xml:space="preserve"> </w:t>
      </w:r>
      <w:r>
        <w:rPr>
          <w:rFonts w:ascii="Times New Roman" w:eastAsia="Times New Roman" w:hAnsi="Times New Roman" w:cs="Times New Roman"/>
          <w:sz w:val="28"/>
          <w:szCs w:val="28"/>
        </w:rPr>
        <w:t>929</w:t>
      </w:r>
      <w:r>
        <w:rPr>
          <w:rFonts w:ascii="Times New Roman" w:eastAsia="Times New Roman" w:hAnsi="Times New Roman" w:cs="Times New Roman"/>
          <w:spacing w:val="-15"/>
          <w:sz w:val="28"/>
          <w:szCs w:val="28"/>
        </w:rPr>
        <w:t xml:space="preserve"> </w:t>
      </w:r>
      <w:r>
        <w:rPr>
          <w:rFonts w:ascii="Times New Roman" w:eastAsia="Times New Roman" w:hAnsi="Times New Roman" w:cs="Times New Roman"/>
          <w:sz w:val="28"/>
          <w:szCs w:val="28"/>
        </w:rPr>
        <w:t>акта</w:t>
      </w:r>
      <w:r>
        <w:rPr>
          <w:rFonts w:ascii="Times New Roman" w:eastAsia="Times New Roman" w:hAnsi="Times New Roman" w:cs="Times New Roman"/>
          <w:spacing w:val="-15"/>
          <w:sz w:val="28"/>
          <w:szCs w:val="28"/>
        </w:rPr>
        <w:t xml:space="preserve"> </w:t>
      </w:r>
      <w:r>
        <w:rPr>
          <w:rFonts w:ascii="Times New Roman" w:eastAsia="Times New Roman" w:hAnsi="Times New Roman" w:cs="Times New Roman"/>
          <w:spacing w:val="-2"/>
          <w:sz w:val="28"/>
          <w:szCs w:val="28"/>
        </w:rPr>
        <w:t>обследования;</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pacing w:val="-2"/>
          <w:sz w:val="28"/>
          <w:szCs w:val="28"/>
        </w:rPr>
        <w:t>выявлено</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pacing w:val="-2"/>
          <w:sz w:val="28"/>
          <w:szCs w:val="28"/>
        </w:rPr>
        <w:t>3311</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pacing w:val="-2"/>
          <w:sz w:val="28"/>
          <w:szCs w:val="28"/>
        </w:rPr>
        <w:t>аварийных</w:t>
      </w:r>
      <w:r>
        <w:rPr>
          <w:rFonts w:ascii="Times New Roman" w:eastAsia="Times New Roman" w:hAnsi="Times New Roman" w:cs="Times New Roman"/>
          <w:spacing w:val="5"/>
          <w:sz w:val="28"/>
          <w:szCs w:val="28"/>
        </w:rPr>
        <w:t xml:space="preserve"> </w:t>
      </w:r>
      <w:r>
        <w:rPr>
          <w:rFonts w:ascii="Times New Roman" w:eastAsia="Times New Roman" w:hAnsi="Times New Roman" w:cs="Times New Roman"/>
          <w:spacing w:val="-2"/>
          <w:sz w:val="28"/>
          <w:szCs w:val="28"/>
        </w:rPr>
        <w:t>деревьев;</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выдано</w:t>
      </w:r>
      <w:r>
        <w:rPr>
          <w:rFonts w:ascii="Times New Roman" w:eastAsia="Times New Roman" w:hAnsi="Times New Roman" w:cs="Times New Roman"/>
          <w:spacing w:val="-9"/>
          <w:sz w:val="28"/>
          <w:szCs w:val="28"/>
        </w:rPr>
        <w:t xml:space="preserve"> 875</w:t>
      </w:r>
      <w:r>
        <w:rPr>
          <w:rFonts w:ascii="Times New Roman" w:eastAsia="Times New Roman" w:hAnsi="Times New Roman" w:cs="Times New Roman"/>
          <w:spacing w:val="-12"/>
          <w:sz w:val="28"/>
          <w:szCs w:val="28"/>
        </w:rPr>
        <w:t xml:space="preserve"> </w:t>
      </w:r>
      <w:r>
        <w:rPr>
          <w:rFonts w:ascii="Times New Roman" w:eastAsia="Times New Roman" w:hAnsi="Times New Roman" w:cs="Times New Roman"/>
          <w:spacing w:val="-2"/>
          <w:sz w:val="28"/>
          <w:szCs w:val="28"/>
        </w:rPr>
        <w:t>разрешений;</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закрыто</w:t>
      </w:r>
      <w:r>
        <w:rPr>
          <w:rFonts w:ascii="Times New Roman" w:eastAsia="Times New Roman" w:hAnsi="Times New Roman" w:cs="Times New Roman"/>
          <w:spacing w:val="-7"/>
          <w:sz w:val="28"/>
          <w:szCs w:val="28"/>
        </w:rPr>
        <w:t xml:space="preserve"> 593</w:t>
      </w:r>
      <w:r>
        <w:rPr>
          <w:rFonts w:ascii="Times New Roman" w:eastAsia="Times New Roman" w:hAnsi="Times New Roman" w:cs="Times New Roman"/>
          <w:spacing w:val="-10"/>
          <w:sz w:val="28"/>
          <w:szCs w:val="28"/>
        </w:rPr>
        <w:t xml:space="preserve"> </w:t>
      </w:r>
      <w:r>
        <w:rPr>
          <w:rFonts w:ascii="Times New Roman" w:eastAsia="Times New Roman" w:hAnsi="Times New Roman" w:cs="Times New Roman"/>
          <w:spacing w:val="-2"/>
          <w:sz w:val="28"/>
          <w:szCs w:val="28"/>
        </w:rPr>
        <w:t>разрешения;</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адреса</w:t>
      </w:r>
      <w:r>
        <w:rPr>
          <w:rFonts w:ascii="Times New Roman" w:eastAsia="Times New Roman" w:hAnsi="Times New Roman" w:cs="Times New Roman"/>
          <w:spacing w:val="10"/>
          <w:sz w:val="28"/>
          <w:szCs w:val="28"/>
        </w:rPr>
        <w:t xml:space="preserve"> </w:t>
      </w:r>
      <w:r>
        <w:rPr>
          <w:rFonts w:ascii="Times New Roman" w:eastAsia="Times New Roman" w:hAnsi="Times New Roman" w:cs="Times New Roman"/>
          <w:sz w:val="28"/>
          <w:szCs w:val="28"/>
        </w:rPr>
        <w:t>включенные</w:t>
      </w:r>
      <w:r>
        <w:rPr>
          <w:rFonts w:ascii="Times New Roman" w:eastAsia="Times New Roman" w:hAnsi="Times New Roman" w:cs="Times New Roman"/>
          <w:spacing w:val="34"/>
          <w:sz w:val="28"/>
          <w:szCs w:val="28"/>
        </w:rPr>
        <w:t xml:space="preserve"> </w:t>
      </w:r>
      <w:r>
        <w:rPr>
          <w:rFonts w:ascii="Times New Roman" w:eastAsia="Times New Roman" w:hAnsi="Times New Roman" w:cs="Times New Roman"/>
          <w:sz w:val="28"/>
          <w:szCs w:val="28"/>
        </w:rPr>
        <w:t>в</w:t>
      </w: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sz w:val="28"/>
          <w:szCs w:val="28"/>
        </w:rPr>
        <w:t>реестр</w:t>
      </w:r>
      <w:r>
        <w:rPr>
          <w:rFonts w:ascii="Times New Roman" w:eastAsia="Times New Roman" w:hAnsi="Times New Roman" w:cs="Times New Roman"/>
          <w:spacing w:val="9"/>
          <w:sz w:val="28"/>
          <w:szCs w:val="28"/>
        </w:rPr>
        <w:t xml:space="preserve"> </w:t>
      </w:r>
      <w:r>
        <w:rPr>
          <w:rFonts w:ascii="Times New Roman" w:eastAsia="Times New Roman" w:hAnsi="Times New Roman" w:cs="Times New Roman"/>
          <w:sz w:val="28"/>
          <w:szCs w:val="28"/>
        </w:rPr>
        <w:t>работ</w:t>
      </w:r>
      <w:r>
        <w:rPr>
          <w:rFonts w:ascii="Times New Roman" w:eastAsia="Times New Roman" w:hAnsi="Times New Roman" w:cs="Times New Roman"/>
          <w:spacing w:val="6"/>
          <w:sz w:val="28"/>
          <w:szCs w:val="28"/>
        </w:rPr>
        <w:t xml:space="preserve"> </w:t>
      </w:r>
      <w:r>
        <w:rPr>
          <w:rFonts w:ascii="Times New Roman" w:eastAsia="Times New Roman" w:hAnsi="Times New Roman" w:cs="Times New Roman"/>
          <w:sz w:val="28"/>
          <w:szCs w:val="28"/>
        </w:rPr>
        <w:t>с</w:t>
      </w:r>
      <w:r>
        <w:rPr>
          <w:rFonts w:ascii="Times New Roman" w:eastAsia="Times New Roman" w:hAnsi="Times New Roman" w:cs="Times New Roman"/>
          <w:spacing w:val="4"/>
          <w:sz w:val="28"/>
          <w:szCs w:val="28"/>
        </w:rPr>
        <w:t xml:space="preserve"> </w:t>
      </w:r>
      <w:r>
        <w:rPr>
          <w:rFonts w:ascii="Times New Roman" w:eastAsia="Times New Roman" w:hAnsi="Times New Roman" w:cs="Times New Roman"/>
          <w:sz w:val="28"/>
          <w:szCs w:val="28"/>
        </w:rPr>
        <w:t>зеленными</w:t>
      </w:r>
      <w:r>
        <w:rPr>
          <w:rFonts w:ascii="Times New Roman" w:eastAsia="Times New Roman" w:hAnsi="Times New Roman" w:cs="Times New Roman"/>
          <w:spacing w:val="22"/>
          <w:sz w:val="28"/>
          <w:szCs w:val="28"/>
        </w:rPr>
        <w:t xml:space="preserve"> </w:t>
      </w:r>
      <w:r>
        <w:rPr>
          <w:rFonts w:ascii="Times New Roman" w:eastAsia="Times New Roman" w:hAnsi="Times New Roman" w:cs="Times New Roman"/>
          <w:sz w:val="28"/>
          <w:szCs w:val="28"/>
        </w:rPr>
        <w:t>насаждениями</w:t>
      </w:r>
      <w:r>
        <w:rPr>
          <w:rFonts w:ascii="Times New Roman" w:eastAsia="Times New Roman" w:hAnsi="Times New Roman" w:cs="Times New Roman"/>
          <w:spacing w:val="31"/>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1"/>
          <w:sz w:val="28"/>
          <w:szCs w:val="28"/>
        </w:rPr>
        <w:t xml:space="preserve"> 187</w:t>
      </w:r>
      <w:r>
        <w:rPr>
          <w:rFonts w:ascii="Times New Roman" w:eastAsia="Times New Roman" w:hAnsi="Times New Roman" w:cs="Times New Roman"/>
          <w:spacing w:val="-4"/>
          <w:sz w:val="28"/>
          <w:szCs w:val="28"/>
        </w:rPr>
        <w:t>;</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выявлено</w:t>
      </w:r>
      <w:r>
        <w:rPr>
          <w:rFonts w:ascii="Times New Roman" w:eastAsia="Times New Roman" w:hAnsi="Times New Roman" w:cs="Times New Roman"/>
          <w:spacing w:val="40"/>
          <w:sz w:val="28"/>
          <w:szCs w:val="28"/>
        </w:rPr>
        <w:t xml:space="preserve"> 12 </w:t>
      </w:r>
      <w:r>
        <w:rPr>
          <w:rFonts w:ascii="Times New Roman" w:eastAsia="Times New Roman" w:hAnsi="Times New Roman" w:cs="Times New Roman"/>
          <w:sz w:val="28"/>
          <w:szCs w:val="28"/>
        </w:rPr>
        <w:t>незаконных</w:t>
      </w:r>
      <w:r>
        <w:rPr>
          <w:rFonts w:ascii="Times New Roman" w:eastAsia="Times New Roman" w:hAnsi="Times New Roman" w:cs="Times New Roman"/>
          <w:spacing w:val="40"/>
          <w:sz w:val="28"/>
          <w:szCs w:val="28"/>
        </w:rPr>
        <w:t xml:space="preserve"> </w:t>
      </w:r>
      <w:r>
        <w:rPr>
          <w:rFonts w:ascii="Times New Roman" w:eastAsia="Times New Roman" w:hAnsi="Times New Roman" w:cs="Times New Roman"/>
          <w:sz w:val="28"/>
          <w:szCs w:val="28"/>
        </w:rPr>
        <w:t>сносов</w:t>
      </w:r>
      <w:r>
        <w:rPr>
          <w:rFonts w:ascii="Times New Roman" w:eastAsia="Times New Roman" w:hAnsi="Times New Roman" w:cs="Times New Roman"/>
          <w:spacing w:val="40"/>
          <w:sz w:val="28"/>
          <w:szCs w:val="28"/>
        </w:rPr>
        <w:t xml:space="preserve"> </w:t>
      </w:r>
      <w:r>
        <w:rPr>
          <w:rFonts w:ascii="Times New Roman" w:eastAsia="Times New Roman" w:hAnsi="Times New Roman" w:cs="Times New Roman"/>
          <w:sz w:val="28"/>
          <w:szCs w:val="28"/>
        </w:rPr>
        <w:t>и</w:t>
      </w:r>
      <w:r>
        <w:rPr>
          <w:rFonts w:ascii="Times New Roman" w:eastAsia="Times New Roman" w:hAnsi="Times New Roman" w:cs="Times New Roman"/>
          <w:spacing w:val="37"/>
          <w:sz w:val="28"/>
          <w:szCs w:val="28"/>
        </w:rPr>
        <w:t xml:space="preserve"> </w:t>
      </w:r>
      <w:r>
        <w:rPr>
          <w:rFonts w:ascii="Times New Roman" w:eastAsia="Times New Roman" w:hAnsi="Times New Roman" w:cs="Times New Roman"/>
          <w:sz w:val="28"/>
          <w:szCs w:val="28"/>
        </w:rPr>
        <w:t>направлены</w:t>
      </w:r>
      <w:r>
        <w:rPr>
          <w:rFonts w:ascii="Times New Roman" w:eastAsia="Times New Roman" w:hAnsi="Times New Roman" w:cs="Times New Roman"/>
          <w:spacing w:val="40"/>
          <w:sz w:val="28"/>
          <w:szCs w:val="28"/>
        </w:rPr>
        <w:t xml:space="preserve"> </w:t>
      </w:r>
      <w:r>
        <w:rPr>
          <w:rFonts w:ascii="Times New Roman" w:eastAsia="Times New Roman" w:hAnsi="Times New Roman" w:cs="Times New Roman"/>
          <w:sz w:val="28"/>
          <w:szCs w:val="28"/>
        </w:rPr>
        <w:t>документы</w:t>
      </w:r>
      <w:r>
        <w:rPr>
          <w:rFonts w:ascii="Times New Roman" w:eastAsia="Times New Roman" w:hAnsi="Times New Roman" w:cs="Times New Roman"/>
          <w:spacing w:val="40"/>
          <w:sz w:val="28"/>
          <w:szCs w:val="28"/>
        </w:rPr>
        <w:t xml:space="preserve"> </w:t>
      </w:r>
      <w:r>
        <w:rPr>
          <w:rFonts w:ascii="Times New Roman" w:eastAsia="Times New Roman" w:hAnsi="Times New Roman" w:cs="Times New Roman"/>
          <w:sz w:val="28"/>
          <w:szCs w:val="28"/>
        </w:rPr>
        <w:t>в</w:t>
      </w:r>
      <w:r>
        <w:rPr>
          <w:rFonts w:ascii="Times New Roman" w:eastAsia="Times New Roman" w:hAnsi="Times New Roman" w:cs="Times New Roman"/>
          <w:spacing w:val="36"/>
          <w:sz w:val="28"/>
          <w:szCs w:val="28"/>
        </w:rPr>
        <w:t xml:space="preserve"> </w:t>
      </w:r>
      <w:r>
        <w:rPr>
          <w:rFonts w:ascii="Times New Roman" w:eastAsia="Times New Roman" w:hAnsi="Times New Roman" w:cs="Times New Roman"/>
          <w:sz w:val="28"/>
          <w:szCs w:val="28"/>
        </w:rPr>
        <w:t>ОВМД</w:t>
      </w:r>
      <w:r>
        <w:rPr>
          <w:rFonts w:ascii="Times New Roman" w:eastAsia="Times New Roman" w:hAnsi="Times New Roman" w:cs="Times New Roman"/>
          <w:spacing w:val="40"/>
          <w:sz w:val="28"/>
          <w:szCs w:val="28"/>
        </w:rPr>
        <w:t xml:space="preserve"> </w:t>
      </w:r>
      <w:r>
        <w:rPr>
          <w:rFonts w:ascii="Times New Roman" w:eastAsia="Times New Roman" w:hAnsi="Times New Roman" w:cs="Times New Roman"/>
          <w:sz w:val="28"/>
          <w:szCs w:val="28"/>
        </w:rPr>
        <w:t>на</w:t>
      </w:r>
      <w:r>
        <w:rPr>
          <w:rFonts w:ascii="Times New Roman" w:eastAsia="Times New Roman" w:hAnsi="Times New Roman" w:cs="Times New Roman"/>
          <w:spacing w:val="40"/>
          <w:sz w:val="28"/>
          <w:szCs w:val="28"/>
        </w:rPr>
        <w:t xml:space="preserve"> </w:t>
      </w:r>
      <w:r>
        <w:rPr>
          <w:rFonts w:ascii="Times New Roman" w:eastAsia="Times New Roman" w:hAnsi="Times New Roman" w:cs="Times New Roman"/>
          <w:sz w:val="28"/>
          <w:szCs w:val="28"/>
        </w:rPr>
        <w:t xml:space="preserve">сумму ущерба 3 413 487,67 </w:t>
      </w:r>
      <w:proofErr w:type="spellStart"/>
      <w:r>
        <w:rPr>
          <w:rFonts w:ascii="Times New Roman" w:eastAsia="Times New Roman" w:hAnsi="Times New Roman" w:cs="Times New Roman"/>
          <w:sz w:val="28"/>
          <w:szCs w:val="28"/>
        </w:rPr>
        <w:t>руб</w:t>
      </w:r>
      <w:proofErr w:type="spellEnd"/>
      <w:r>
        <w:rPr>
          <w:rFonts w:ascii="Times New Roman" w:eastAsia="Times New Roman" w:hAnsi="Times New Roman" w:cs="Times New Roman"/>
          <w:sz w:val="28"/>
          <w:szCs w:val="28"/>
        </w:rPr>
        <w:t>;</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pacing w:val="-2"/>
          <w:sz w:val="28"/>
          <w:szCs w:val="28"/>
        </w:rPr>
        <w:t>подготовлено</w:t>
      </w:r>
      <w:r>
        <w:rPr>
          <w:rFonts w:ascii="Times New Roman" w:eastAsia="Times New Roman" w:hAnsi="Times New Roman" w:cs="Times New Roman"/>
          <w:spacing w:val="7"/>
          <w:sz w:val="28"/>
          <w:szCs w:val="28"/>
        </w:rPr>
        <w:t xml:space="preserve"> </w:t>
      </w:r>
      <w:r>
        <w:rPr>
          <w:rFonts w:ascii="Times New Roman" w:eastAsia="Times New Roman" w:hAnsi="Times New Roman" w:cs="Times New Roman"/>
          <w:spacing w:val="-2"/>
          <w:sz w:val="28"/>
          <w:szCs w:val="28"/>
        </w:rPr>
        <w:t xml:space="preserve">1122 </w:t>
      </w: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spacing w:val="-2"/>
          <w:sz w:val="28"/>
          <w:szCs w:val="28"/>
        </w:rPr>
        <w:t>ответов</w:t>
      </w:r>
      <w:r>
        <w:rPr>
          <w:rFonts w:ascii="Times New Roman" w:eastAsia="Times New Roman" w:hAnsi="Times New Roman" w:cs="Times New Roman"/>
          <w:spacing w:val="6"/>
          <w:sz w:val="28"/>
          <w:szCs w:val="28"/>
        </w:rPr>
        <w:t xml:space="preserve"> </w:t>
      </w:r>
      <w:r>
        <w:rPr>
          <w:rFonts w:ascii="Times New Roman" w:eastAsia="Times New Roman" w:hAnsi="Times New Roman" w:cs="Times New Roman"/>
          <w:spacing w:val="-2"/>
          <w:sz w:val="28"/>
          <w:szCs w:val="28"/>
        </w:rPr>
        <w:t>на</w:t>
      </w:r>
      <w:r>
        <w:rPr>
          <w:rFonts w:ascii="Times New Roman" w:eastAsia="Times New Roman" w:hAnsi="Times New Roman" w:cs="Times New Roman"/>
          <w:spacing w:val="-5"/>
          <w:sz w:val="28"/>
          <w:szCs w:val="28"/>
        </w:rPr>
        <w:t xml:space="preserve"> </w:t>
      </w:r>
      <w:r>
        <w:rPr>
          <w:rFonts w:ascii="Times New Roman" w:eastAsia="Times New Roman" w:hAnsi="Times New Roman" w:cs="Times New Roman"/>
          <w:spacing w:val="-2"/>
          <w:sz w:val="28"/>
          <w:szCs w:val="28"/>
        </w:rPr>
        <w:t>межведомственные</w:t>
      </w:r>
      <w:r>
        <w:rPr>
          <w:rFonts w:ascii="Times New Roman" w:eastAsia="Times New Roman" w:hAnsi="Times New Roman" w:cs="Times New Roman"/>
          <w:spacing w:val="-10"/>
          <w:sz w:val="28"/>
          <w:szCs w:val="28"/>
        </w:rPr>
        <w:t xml:space="preserve"> </w:t>
      </w:r>
      <w:r>
        <w:rPr>
          <w:rFonts w:ascii="Times New Roman" w:eastAsia="Times New Roman" w:hAnsi="Times New Roman" w:cs="Times New Roman"/>
          <w:spacing w:val="-2"/>
          <w:sz w:val="28"/>
          <w:szCs w:val="28"/>
        </w:rPr>
        <w:t>запросы;</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pacing w:val="-2"/>
          <w:sz w:val="28"/>
          <w:szCs w:val="28"/>
        </w:rPr>
        <w:lastRenderedPageBreak/>
        <w:t>выполнено</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pacing w:val="-2"/>
          <w:sz w:val="28"/>
          <w:szCs w:val="28"/>
        </w:rPr>
        <w:t>задач/поручений</w:t>
      </w:r>
      <w:r>
        <w:rPr>
          <w:rFonts w:ascii="Times New Roman" w:eastAsia="Times New Roman" w:hAnsi="Times New Roman" w:cs="Times New Roman"/>
          <w:spacing w:val="-14"/>
          <w:sz w:val="28"/>
          <w:szCs w:val="28"/>
        </w:rPr>
        <w:t xml:space="preserve"> </w:t>
      </w:r>
      <w:r>
        <w:rPr>
          <w:rFonts w:ascii="Times New Roman" w:eastAsia="Times New Roman" w:hAnsi="Times New Roman" w:cs="Times New Roman"/>
          <w:spacing w:val="-2"/>
          <w:sz w:val="28"/>
          <w:szCs w:val="28"/>
        </w:rPr>
        <w:t>в</w:t>
      </w:r>
      <w:r>
        <w:rPr>
          <w:rFonts w:ascii="Times New Roman" w:eastAsia="Times New Roman" w:hAnsi="Times New Roman" w:cs="Times New Roman"/>
          <w:spacing w:val="-12"/>
          <w:sz w:val="28"/>
          <w:szCs w:val="28"/>
        </w:rPr>
        <w:t xml:space="preserve"> </w:t>
      </w:r>
      <w:r>
        <w:rPr>
          <w:rFonts w:ascii="Times New Roman" w:eastAsia="Times New Roman" w:hAnsi="Times New Roman" w:cs="Times New Roman"/>
          <w:spacing w:val="-2"/>
          <w:sz w:val="28"/>
          <w:szCs w:val="28"/>
        </w:rPr>
        <w:t>СЭД</w:t>
      </w:r>
      <w:r>
        <w:rPr>
          <w:rFonts w:ascii="Times New Roman" w:eastAsia="Times New Roman" w:hAnsi="Times New Roman" w:cs="Times New Roman"/>
          <w:spacing w:val="-4"/>
          <w:sz w:val="28"/>
          <w:szCs w:val="28"/>
        </w:rPr>
        <w:t xml:space="preserve"> </w:t>
      </w:r>
      <w:proofErr w:type="spellStart"/>
      <w:r>
        <w:rPr>
          <w:rFonts w:ascii="Times New Roman" w:eastAsia="Times New Roman" w:hAnsi="Times New Roman" w:cs="Times New Roman"/>
          <w:spacing w:val="-2"/>
          <w:sz w:val="28"/>
          <w:szCs w:val="28"/>
        </w:rPr>
        <w:t>Директум</w:t>
      </w:r>
      <w:proofErr w:type="spellEnd"/>
      <w:r>
        <w:rPr>
          <w:rFonts w:ascii="Times New Roman" w:eastAsia="Times New Roman" w:hAnsi="Times New Roman" w:cs="Times New Roman"/>
          <w:spacing w:val="17"/>
          <w:sz w:val="28"/>
          <w:szCs w:val="28"/>
        </w:rPr>
        <w:t xml:space="preserve"> </w:t>
      </w:r>
      <w:r>
        <w:rPr>
          <w:rFonts w:ascii="Times New Roman" w:eastAsia="Times New Roman" w:hAnsi="Times New Roman" w:cs="Times New Roman"/>
          <w:spacing w:val="-2"/>
          <w:sz w:val="28"/>
          <w:szCs w:val="28"/>
        </w:rPr>
        <w:t>в</w:t>
      </w:r>
      <w:r>
        <w:rPr>
          <w:rFonts w:ascii="Times New Roman" w:eastAsia="Times New Roman" w:hAnsi="Times New Roman" w:cs="Times New Roman"/>
          <w:spacing w:val="-5"/>
          <w:sz w:val="28"/>
          <w:szCs w:val="28"/>
        </w:rPr>
        <w:t xml:space="preserve"> </w:t>
      </w:r>
      <w:r>
        <w:rPr>
          <w:rFonts w:ascii="Times New Roman" w:eastAsia="Times New Roman" w:hAnsi="Times New Roman" w:cs="Times New Roman"/>
          <w:spacing w:val="-2"/>
          <w:sz w:val="28"/>
          <w:szCs w:val="28"/>
        </w:rPr>
        <w:t>количестве</w:t>
      </w:r>
      <w:r>
        <w:rPr>
          <w:rFonts w:ascii="Times New Roman" w:eastAsia="Times New Roman" w:hAnsi="Times New Roman" w:cs="Times New Roman"/>
          <w:spacing w:val="5"/>
          <w:sz w:val="28"/>
          <w:szCs w:val="28"/>
        </w:rPr>
        <w:t xml:space="preserve"> </w:t>
      </w:r>
      <w:r>
        <w:rPr>
          <w:rFonts w:ascii="Times New Roman" w:eastAsia="Times New Roman" w:hAnsi="Times New Roman" w:cs="Times New Roman"/>
          <w:spacing w:val="-2"/>
          <w:sz w:val="28"/>
          <w:szCs w:val="28"/>
        </w:rPr>
        <w:t>734</w:t>
      </w:r>
      <w:r>
        <w:rPr>
          <w:rFonts w:ascii="Times New Roman" w:eastAsia="Times New Roman" w:hAnsi="Times New Roman" w:cs="Times New Roman"/>
          <w:sz w:val="28"/>
          <w:szCs w:val="28"/>
        </w:rPr>
        <w:t xml:space="preserve"> </w:t>
      </w:r>
      <w:r>
        <w:rPr>
          <w:rFonts w:ascii="Times New Roman" w:eastAsia="Times New Roman" w:hAnsi="Times New Roman" w:cs="Times New Roman"/>
          <w:spacing w:val="-5"/>
          <w:sz w:val="28"/>
          <w:szCs w:val="28"/>
        </w:rPr>
        <w:t>шт.</w:t>
      </w:r>
    </w:p>
    <w:p w:rsidR="00B52DE3" w:rsidRDefault="00B52DE3">
      <w:pPr>
        <w:pStyle w:val="2f6"/>
        <w:keepNext w:val="0"/>
        <w:spacing w:before="0"/>
        <w:ind w:left="0"/>
      </w:pPr>
    </w:p>
    <w:p w:rsidR="00B52DE3" w:rsidRDefault="00DE73E3">
      <w:pPr>
        <w:pStyle w:val="2f6"/>
        <w:keepNext w:val="0"/>
        <w:spacing w:before="0" w:line="240" w:lineRule="auto"/>
        <w:ind w:left="0"/>
      </w:pPr>
      <w:bookmarkStart w:id="97" w:name="_Работы_по_"/>
      <w:bookmarkStart w:id="98" w:name="_Toc91"/>
      <w:bookmarkEnd w:id="97"/>
      <w:r>
        <w:t>Работы по озеленению и содержанию зеленых насаждений на территории Уссурийского городского округа:</w:t>
      </w:r>
      <w:bookmarkEnd w:id="98"/>
    </w:p>
    <w:p w:rsidR="00B52DE3" w:rsidRDefault="00B52DE3">
      <w:pPr>
        <w:pStyle w:val="2f6"/>
        <w:keepNext w:val="0"/>
        <w:ind w:left="0"/>
      </w:pP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снос</w:t>
      </w:r>
      <w:r>
        <w:rPr>
          <w:rFonts w:ascii="Times New Roman" w:eastAsia="Times New Roman" w:hAnsi="Times New Roman" w:cs="Times New Roman"/>
          <w:spacing w:val="-14"/>
          <w:sz w:val="28"/>
          <w:szCs w:val="28"/>
        </w:rPr>
        <w:t xml:space="preserve"> </w:t>
      </w:r>
      <w:r>
        <w:rPr>
          <w:rFonts w:ascii="Times New Roman" w:eastAsia="Times New Roman" w:hAnsi="Times New Roman" w:cs="Times New Roman"/>
          <w:sz w:val="28"/>
          <w:szCs w:val="28"/>
        </w:rPr>
        <w:t>аварийных</w:t>
      </w:r>
      <w:r>
        <w:rPr>
          <w:rFonts w:ascii="Times New Roman" w:eastAsia="Times New Roman" w:hAnsi="Times New Roman" w:cs="Times New Roman"/>
          <w:spacing w:val="-4"/>
          <w:sz w:val="28"/>
          <w:szCs w:val="28"/>
        </w:rPr>
        <w:t xml:space="preserve"> </w:t>
      </w:r>
      <w:r>
        <w:rPr>
          <w:rFonts w:ascii="Times New Roman" w:eastAsia="Times New Roman" w:hAnsi="Times New Roman" w:cs="Times New Roman"/>
          <w:sz w:val="28"/>
          <w:szCs w:val="28"/>
        </w:rPr>
        <w:t>деревьев</w:t>
      </w:r>
      <w:r>
        <w:rPr>
          <w:rFonts w:ascii="Times New Roman" w:eastAsia="Times New Roman" w:hAnsi="Times New Roman" w:cs="Times New Roman"/>
          <w:spacing w:val="-7"/>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16"/>
          <w:sz w:val="28"/>
          <w:szCs w:val="28"/>
        </w:rPr>
        <w:t xml:space="preserve"> 504</w:t>
      </w:r>
      <w:r>
        <w:rPr>
          <w:rFonts w:ascii="Times New Roman" w:eastAsia="Times New Roman" w:hAnsi="Times New Roman" w:cs="Times New Roman"/>
          <w:spacing w:val="-12"/>
          <w:sz w:val="28"/>
          <w:szCs w:val="28"/>
        </w:rPr>
        <w:t xml:space="preserve"> </w:t>
      </w:r>
      <w:r>
        <w:rPr>
          <w:rFonts w:ascii="Times New Roman" w:eastAsia="Times New Roman" w:hAnsi="Times New Roman" w:cs="Times New Roman"/>
          <w:spacing w:val="-4"/>
          <w:sz w:val="28"/>
          <w:szCs w:val="28"/>
        </w:rPr>
        <w:t>ед.;</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санитарная</w:t>
      </w:r>
      <w:r>
        <w:rPr>
          <w:rFonts w:ascii="Times New Roman" w:eastAsia="Times New Roman" w:hAnsi="Times New Roman" w:cs="Times New Roman"/>
          <w:spacing w:val="16"/>
          <w:sz w:val="28"/>
          <w:szCs w:val="28"/>
        </w:rPr>
        <w:t xml:space="preserve"> </w:t>
      </w:r>
      <w:r>
        <w:rPr>
          <w:rFonts w:ascii="Times New Roman" w:eastAsia="Times New Roman" w:hAnsi="Times New Roman" w:cs="Times New Roman"/>
          <w:sz w:val="28"/>
          <w:szCs w:val="28"/>
        </w:rPr>
        <w:t>обрезка</w:t>
      </w:r>
      <w:r>
        <w:rPr>
          <w:rFonts w:ascii="Times New Roman" w:eastAsia="Times New Roman" w:hAnsi="Times New Roman" w:cs="Times New Roman"/>
          <w:spacing w:val="5"/>
          <w:sz w:val="28"/>
          <w:szCs w:val="28"/>
        </w:rPr>
        <w:t xml:space="preserve"> </w:t>
      </w:r>
      <w:r>
        <w:rPr>
          <w:rFonts w:ascii="Times New Roman" w:eastAsia="Times New Roman" w:hAnsi="Times New Roman" w:cs="Times New Roman"/>
          <w:sz w:val="28"/>
          <w:szCs w:val="28"/>
        </w:rPr>
        <w:t>деревьев</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6"/>
          <w:sz w:val="28"/>
          <w:szCs w:val="28"/>
        </w:rPr>
        <w:t xml:space="preserve"> 552</w:t>
      </w:r>
      <w:r>
        <w:rPr>
          <w:rFonts w:ascii="Times New Roman" w:eastAsia="Times New Roman" w:hAnsi="Times New Roman" w:cs="Times New Roman"/>
          <w:sz w:val="28"/>
          <w:szCs w:val="28"/>
        </w:rPr>
        <w:t xml:space="preserve"> </w:t>
      </w:r>
      <w:r>
        <w:rPr>
          <w:rFonts w:ascii="Times New Roman" w:eastAsia="Times New Roman" w:hAnsi="Times New Roman" w:cs="Times New Roman"/>
          <w:spacing w:val="-4"/>
          <w:sz w:val="28"/>
          <w:szCs w:val="28"/>
        </w:rPr>
        <w:t>ед.;</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pacing w:val="-2"/>
          <w:sz w:val="28"/>
          <w:szCs w:val="28"/>
        </w:rPr>
        <w:t>омолаживающая</w:t>
      </w:r>
      <w:r>
        <w:rPr>
          <w:rFonts w:ascii="Times New Roman" w:eastAsia="Times New Roman" w:hAnsi="Times New Roman" w:cs="Times New Roman"/>
          <w:spacing w:val="20"/>
          <w:sz w:val="28"/>
          <w:szCs w:val="28"/>
        </w:rPr>
        <w:t xml:space="preserve"> </w:t>
      </w:r>
      <w:r>
        <w:rPr>
          <w:rFonts w:ascii="Times New Roman" w:eastAsia="Times New Roman" w:hAnsi="Times New Roman" w:cs="Times New Roman"/>
          <w:spacing w:val="-2"/>
          <w:sz w:val="28"/>
          <w:szCs w:val="28"/>
        </w:rPr>
        <w:t>обрезка</w:t>
      </w:r>
      <w:r>
        <w:rPr>
          <w:rFonts w:ascii="Times New Roman" w:eastAsia="Times New Roman" w:hAnsi="Times New Roman" w:cs="Times New Roman"/>
          <w:spacing w:val="4"/>
          <w:sz w:val="28"/>
          <w:szCs w:val="28"/>
        </w:rPr>
        <w:t xml:space="preserve"> </w:t>
      </w:r>
      <w:r>
        <w:rPr>
          <w:rFonts w:ascii="Times New Roman" w:eastAsia="Times New Roman" w:hAnsi="Times New Roman" w:cs="Times New Roman"/>
          <w:spacing w:val="-2"/>
          <w:sz w:val="28"/>
          <w:szCs w:val="28"/>
        </w:rPr>
        <w:t>деревьев</w:t>
      </w:r>
      <w:r>
        <w:rPr>
          <w:rFonts w:ascii="Times New Roman" w:eastAsia="Times New Roman" w:hAnsi="Times New Roman" w:cs="Times New Roman"/>
          <w:spacing w:val="6"/>
          <w:sz w:val="28"/>
          <w:szCs w:val="28"/>
        </w:rPr>
        <w:t xml:space="preserve"> </w:t>
      </w:r>
      <w:r>
        <w:rPr>
          <w:rFonts w:ascii="Times New Roman" w:eastAsia="Times New Roman" w:hAnsi="Times New Roman" w:cs="Times New Roman"/>
          <w:spacing w:val="-2"/>
          <w:sz w:val="28"/>
          <w:szCs w:val="28"/>
        </w:rPr>
        <w:t>83</w:t>
      </w:r>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pacing w:val="-4"/>
          <w:sz w:val="28"/>
          <w:szCs w:val="28"/>
        </w:rPr>
        <w:t>ед.:</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формовочная</w:t>
      </w:r>
      <w:r>
        <w:rPr>
          <w:rFonts w:ascii="Times New Roman" w:eastAsia="Times New Roman" w:hAnsi="Times New Roman" w:cs="Times New Roman"/>
          <w:spacing w:val="35"/>
          <w:sz w:val="28"/>
          <w:szCs w:val="28"/>
        </w:rPr>
        <w:t xml:space="preserve"> </w:t>
      </w:r>
      <w:r>
        <w:rPr>
          <w:rFonts w:ascii="Times New Roman" w:eastAsia="Times New Roman" w:hAnsi="Times New Roman" w:cs="Times New Roman"/>
          <w:sz w:val="28"/>
          <w:szCs w:val="28"/>
        </w:rPr>
        <w:t>обрезка</w:t>
      </w:r>
      <w:r>
        <w:rPr>
          <w:rFonts w:ascii="Times New Roman" w:eastAsia="Times New Roman" w:hAnsi="Times New Roman" w:cs="Times New Roman"/>
          <w:spacing w:val="19"/>
          <w:sz w:val="28"/>
          <w:szCs w:val="28"/>
        </w:rPr>
        <w:t xml:space="preserve"> </w:t>
      </w:r>
      <w:r>
        <w:rPr>
          <w:rFonts w:ascii="Times New Roman" w:eastAsia="Times New Roman" w:hAnsi="Times New Roman" w:cs="Times New Roman"/>
          <w:sz w:val="28"/>
          <w:szCs w:val="28"/>
        </w:rPr>
        <w:t>деревьев</w:t>
      </w:r>
      <w:r>
        <w:rPr>
          <w:rFonts w:ascii="Times New Roman" w:eastAsia="Times New Roman" w:hAnsi="Times New Roman" w:cs="Times New Roman"/>
          <w:spacing w:val="13"/>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1"/>
          <w:sz w:val="28"/>
          <w:szCs w:val="28"/>
        </w:rPr>
        <w:t xml:space="preserve"> 4247</w:t>
      </w:r>
      <w:r>
        <w:rPr>
          <w:rFonts w:ascii="Times New Roman" w:eastAsia="Times New Roman" w:hAnsi="Times New Roman" w:cs="Times New Roman"/>
          <w:spacing w:val="7"/>
          <w:sz w:val="28"/>
          <w:szCs w:val="28"/>
        </w:rPr>
        <w:t xml:space="preserve"> </w:t>
      </w:r>
      <w:r>
        <w:rPr>
          <w:rFonts w:ascii="Times New Roman" w:eastAsia="Times New Roman" w:hAnsi="Times New Roman" w:cs="Times New Roman"/>
          <w:spacing w:val="-4"/>
          <w:sz w:val="28"/>
          <w:szCs w:val="28"/>
        </w:rPr>
        <w:t>ед.;</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омолаживающая</w:t>
      </w:r>
      <w:r>
        <w:rPr>
          <w:rFonts w:ascii="Times New Roman" w:eastAsia="Times New Roman" w:hAnsi="Times New Roman" w:cs="Times New Roman"/>
          <w:spacing w:val="37"/>
          <w:sz w:val="28"/>
          <w:szCs w:val="28"/>
        </w:rPr>
        <w:t xml:space="preserve"> </w:t>
      </w:r>
      <w:r>
        <w:rPr>
          <w:rFonts w:ascii="Times New Roman" w:eastAsia="Times New Roman" w:hAnsi="Times New Roman" w:cs="Times New Roman"/>
          <w:sz w:val="28"/>
          <w:szCs w:val="28"/>
        </w:rPr>
        <w:t>обрезка</w:t>
      </w:r>
      <w:r>
        <w:rPr>
          <w:rFonts w:ascii="Times New Roman" w:eastAsia="Times New Roman" w:hAnsi="Times New Roman" w:cs="Times New Roman"/>
          <w:spacing w:val="22"/>
          <w:sz w:val="28"/>
          <w:szCs w:val="28"/>
        </w:rPr>
        <w:t xml:space="preserve"> </w:t>
      </w:r>
      <w:r>
        <w:rPr>
          <w:rFonts w:ascii="Times New Roman" w:eastAsia="Times New Roman" w:hAnsi="Times New Roman" w:cs="Times New Roman"/>
          <w:sz w:val="28"/>
          <w:szCs w:val="28"/>
        </w:rPr>
        <w:t>кустарника</w:t>
      </w:r>
      <w:r>
        <w:rPr>
          <w:rFonts w:ascii="Times New Roman" w:eastAsia="Times New Roman" w:hAnsi="Times New Roman" w:cs="Times New Roman"/>
          <w:spacing w:val="14"/>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3"/>
          <w:sz w:val="28"/>
          <w:szCs w:val="28"/>
        </w:rPr>
        <w:t xml:space="preserve"> 149,7 </w:t>
      </w:r>
      <w:proofErr w:type="spellStart"/>
      <w:r>
        <w:rPr>
          <w:rFonts w:ascii="Times New Roman" w:eastAsia="Times New Roman" w:hAnsi="Times New Roman" w:cs="Times New Roman"/>
          <w:spacing w:val="3"/>
          <w:sz w:val="28"/>
          <w:szCs w:val="28"/>
        </w:rPr>
        <w:t>пог.м</w:t>
      </w:r>
      <w:proofErr w:type="spellEnd"/>
      <w:r>
        <w:rPr>
          <w:rFonts w:ascii="Times New Roman" w:eastAsia="Times New Roman" w:hAnsi="Times New Roman" w:cs="Times New Roman"/>
          <w:spacing w:val="-4"/>
          <w:sz w:val="28"/>
          <w:szCs w:val="28"/>
        </w:rPr>
        <w:t>;</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вырезка</w:t>
      </w:r>
      <w:r>
        <w:rPr>
          <w:rFonts w:ascii="Times New Roman" w:eastAsia="Times New Roman" w:hAnsi="Times New Roman" w:cs="Times New Roman"/>
          <w:spacing w:val="7"/>
          <w:sz w:val="28"/>
          <w:szCs w:val="28"/>
        </w:rPr>
        <w:t xml:space="preserve"> </w:t>
      </w:r>
      <w:r>
        <w:rPr>
          <w:rFonts w:ascii="Times New Roman" w:eastAsia="Times New Roman" w:hAnsi="Times New Roman" w:cs="Times New Roman"/>
          <w:sz w:val="28"/>
          <w:szCs w:val="28"/>
        </w:rPr>
        <w:t>поросли</w:t>
      </w:r>
      <w:r>
        <w:rPr>
          <w:rFonts w:ascii="Times New Roman" w:eastAsia="Times New Roman" w:hAnsi="Times New Roman" w:cs="Times New Roman"/>
          <w:spacing w:val="4"/>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3"/>
          <w:sz w:val="28"/>
          <w:szCs w:val="28"/>
        </w:rPr>
        <w:t xml:space="preserve"> 4242</w:t>
      </w:r>
      <w:r>
        <w:rPr>
          <w:rFonts w:ascii="Times New Roman" w:eastAsia="Times New Roman" w:hAnsi="Times New Roman" w:cs="Times New Roman"/>
          <w:sz w:val="28"/>
          <w:szCs w:val="28"/>
        </w:rPr>
        <w:t xml:space="preserve"> </w:t>
      </w:r>
      <w:r>
        <w:rPr>
          <w:rFonts w:ascii="Times New Roman" w:eastAsia="Times New Roman" w:hAnsi="Times New Roman" w:cs="Times New Roman"/>
          <w:spacing w:val="-4"/>
          <w:sz w:val="28"/>
          <w:szCs w:val="28"/>
        </w:rPr>
        <w:t>ед.:</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очистка</w:t>
      </w:r>
      <w:r>
        <w:rPr>
          <w:rFonts w:ascii="Times New Roman" w:eastAsia="Times New Roman" w:hAnsi="Times New Roman" w:cs="Times New Roman"/>
          <w:spacing w:val="19"/>
          <w:sz w:val="28"/>
          <w:szCs w:val="28"/>
        </w:rPr>
        <w:t xml:space="preserve"> </w:t>
      </w:r>
      <w:r>
        <w:rPr>
          <w:rFonts w:ascii="Times New Roman" w:eastAsia="Times New Roman" w:hAnsi="Times New Roman" w:cs="Times New Roman"/>
          <w:sz w:val="28"/>
          <w:szCs w:val="28"/>
        </w:rPr>
        <w:t>штамбов</w:t>
      </w:r>
      <w:r>
        <w:rPr>
          <w:rFonts w:ascii="Times New Roman" w:eastAsia="Times New Roman" w:hAnsi="Times New Roman" w:cs="Times New Roman"/>
          <w:spacing w:val="12"/>
          <w:sz w:val="28"/>
          <w:szCs w:val="28"/>
        </w:rPr>
        <w:t xml:space="preserve"> </w:t>
      </w:r>
      <w:r>
        <w:rPr>
          <w:rFonts w:ascii="Times New Roman" w:eastAsia="Times New Roman" w:hAnsi="Times New Roman" w:cs="Times New Roman"/>
          <w:sz w:val="28"/>
          <w:szCs w:val="28"/>
        </w:rPr>
        <w:t>деревьев</w:t>
      </w:r>
      <w:r>
        <w:rPr>
          <w:rFonts w:ascii="Times New Roman" w:eastAsia="Times New Roman" w:hAnsi="Times New Roman" w:cs="Times New Roman"/>
          <w:spacing w:val="12"/>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1"/>
          <w:sz w:val="28"/>
          <w:szCs w:val="28"/>
        </w:rPr>
        <w:t xml:space="preserve"> 863</w:t>
      </w:r>
      <w:r>
        <w:rPr>
          <w:rFonts w:ascii="Times New Roman" w:eastAsia="Times New Roman" w:hAnsi="Times New Roman" w:cs="Times New Roman"/>
          <w:spacing w:val="7"/>
          <w:sz w:val="28"/>
          <w:szCs w:val="28"/>
        </w:rPr>
        <w:t xml:space="preserve"> </w:t>
      </w:r>
      <w:r>
        <w:rPr>
          <w:rFonts w:ascii="Times New Roman" w:eastAsia="Times New Roman" w:hAnsi="Times New Roman" w:cs="Times New Roman"/>
          <w:spacing w:val="-4"/>
          <w:sz w:val="28"/>
          <w:szCs w:val="28"/>
        </w:rPr>
        <w:t>ед.;</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pacing w:val="-2"/>
          <w:sz w:val="28"/>
          <w:szCs w:val="28"/>
        </w:rPr>
        <w:t>стрижка</w:t>
      </w:r>
      <w:r>
        <w:rPr>
          <w:rFonts w:ascii="Times New Roman" w:eastAsia="Times New Roman" w:hAnsi="Times New Roman" w:cs="Times New Roman"/>
          <w:spacing w:val="9"/>
          <w:sz w:val="28"/>
          <w:szCs w:val="28"/>
        </w:rPr>
        <w:t xml:space="preserve"> </w:t>
      </w:r>
      <w:r>
        <w:rPr>
          <w:rFonts w:ascii="Times New Roman" w:eastAsia="Times New Roman" w:hAnsi="Times New Roman" w:cs="Times New Roman"/>
          <w:spacing w:val="-2"/>
          <w:sz w:val="28"/>
          <w:szCs w:val="28"/>
        </w:rPr>
        <w:t>кустарника</w:t>
      </w:r>
      <w:r>
        <w:rPr>
          <w:rFonts w:ascii="Times New Roman" w:eastAsia="Times New Roman" w:hAnsi="Times New Roman" w:cs="Times New Roman"/>
          <w:spacing w:val="15"/>
          <w:sz w:val="28"/>
          <w:szCs w:val="28"/>
        </w:rPr>
        <w:t xml:space="preserve"> </w:t>
      </w:r>
      <w:r>
        <w:rPr>
          <w:rFonts w:ascii="Times New Roman" w:eastAsia="Times New Roman" w:hAnsi="Times New Roman" w:cs="Times New Roman"/>
          <w:spacing w:val="-2"/>
          <w:sz w:val="28"/>
          <w:szCs w:val="28"/>
        </w:rPr>
        <w:t>живая</w:t>
      </w:r>
      <w:r>
        <w:rPr>
          <w:rFonts w:ascii="Times New Roman" w:eastAsia="Times New Roman" w:hAnsi="Times New Roman" w:cs="Times New Roman"/>
          <w:spacing w:val="6"/>
          <w:sz w:val="28"/>
          <w:szCs w:val="28"/>
        </w:rPr>
        <w:t xml:space="preserve"> </w:t>
      </w:r>
      <w:r>
        <w:rPr>
          <w:rFonts w:ascii="Times New Roman" w:eastAsia="Times New Roman" w:hAnsi="Times New Roman" w:cs="Times New Roman"/>
          <w:spacing w:val="-2"/>
          <w:sz w:val="28"/>
          <w:szCs w:val="28"/>
        </w:rPr>
        <w:t>изгородь</w:t>
      </w:r>
      <w:r>
        <w:rPr>
          <w:rFonts w:ascii="Times New Roman" w:eastAsia="Times New Roman" w:hAnsi="Times New Roman" w:cs="Times New Roman"/>
          <w:spacing w:val="8"/>
          <w:sz w:val="28"/>
          <w:szCs w:val="28"/>
        </w:rPr>
        <w:t xml:space="preserve"> </w:t>
      </w:r>
      <w:r>
        <w:rPr>
          <w:rFonts w:ascii="Times New Roman" w:eastAsia="Times New Roman" w:hAnsi="Times New Roman" w:cs="Times New Roman"/>
          <w:spacing w:val="-2"/>
          <w:sz w:val="28"/>
          <w:szCs w:val="28"/>
        </w:rPr>
        <w:t>25157,55</w:t>
      </w:r>
      <w:r>
        <w:rPr>
          <w:rFonts w:ascii="Times New Roman" w:eastAsia="Times New Roman" w:hAnsi="Times New Roman" w:cs="Times New Roman"/>
          <w:spacing w:val="6"/>
          <w:sz w:val="28"/>
          <w:szCs w:val="28"/>
        </w:rPr>
        <w:t xml:space="preserve"> </w:t>
      </w:r>
      <w:r>
        <w:rPr>
          <w:rFonts w:ascii="Times New Roman" w:eastAsia="Times New Roman" w:hAnsi="Times New Roman" w:cs="Times New Roman"/>
          <w:spacing w:val="-5"/>
          <w:sz w:val="28"/>
          <w:szCs w:val="28"/>
        </w:rPr>
        <w:t>м</w:t>
      </w:r>
      <w:r>
        <w:rPr>
          <w:rFonts w:ascii="Times New Roman" w:eastAsia="Times New Roman" w:hAnsi="Times New Roman" w:cs="Times New Roman"/>
          <w:spacing w:val="-5"/>
          <w:sz w:val="28"/>
          <w:szCs w:val="28"/>
          <w:vertAlign w:val="superscript"/>
        </w:rPr>
        <w:t>2</w:t>
      </w:r>
      <w:r>
        <w:rPr>
          <w:rFonts w:ascii="Times New Roman" w:eastAsia="Times New Roman" w:hAnsi="Times New Roman" w:cs="Times New Roman"/>
          <w:spacing w:val="-5"/>
          <w:sz w:val="28"/>
          <w:szCs w:val="28"/>
        </w:rPr>
        <w:t>:</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уборка</w:t>
      </w:r>
      <w:r>
        <w:rPr>
          <w:rFonts w:ascii="Times New Roman" w:eastAsia="Times New Roman" w:hAnsi="Times New Roman" w:cs="Times New Roman"/>
          <w:spacing w:val="20"/>
          <w:sz w:val="28"/>
          <w:szCs w:val="28"/>
        </w:rPr>
        <w:t xml:space="preserve"> </w:t>
      </w:r>
      <w:r>
        <w:rPr>
          <w:rFonts w:ascii="Times New Roman" w:eastAsia="Times New Roman" w:hAnsi="Times New Roman" w:cs="Times New Roman"/>
          <w:sz w:val="28"/>
          <w:szCs w:val="28"/>
        </w:rPr>
        <w:t>упавших</w:t>
      </w:r>
      <w:r>
        <w:rPr>
          <w:rFonts w:ascii="Times New Roman" w:eastAsia="Times New Roman" w:hAnsi="Times New Roman" w:cs="Times New Roman"/>
          <w:spacing w:val="21"/>
          <w:sz w:val="28"/>
          <w:szCs w:val="28"/>
        </w:rPr>
        <w:t xml:space="preserve"> </w:t>
      </w:r>
      <w:r>
        <w:rPr>
          <w:rFonts w:ascii="Times New Roman" w:eastAsia="Times New Roman" w:hAnsi="Times New Roman" w:cs="Times New Roman"/>
          <w:sz w:val="28"/>
          <w:szCs w:val="28"/>
        </w:rPr>
        <w:t>ветвей</w:t>
      </w:r>
      <w:r>
        <w:rPr>
          <w:rFonts w:ascii="Times New Roman" w:eastAsia="Times New Roman" w:hAnsi="Times New Roman" w:cs="Times New Roman"/>
          <w:spacing w:val="25"/>
          <w:sz w:val="28"/>
          <w:szCs w:val="28"/>
        </w:rPr>
        <w:t xml:space="preserve"> </w:t>
      </w:r>
      <w:r>
        <w:rPr>
          <w:rFonts w:ascii="Times New Roman" w:eastAsia="Times New Roman" w:hAnsi="Times New Roman" w:cs="Times New Roman"/>
          <w:sz w:val="28"/>
          <w:szCs w:val="28"/>
        </w:rPr>
        <w:t>и</w:t>
      </w:r>
      <w:r>
        <w:rPr>
          <w:rFonts w:ascii="Times New Roman" w:eastAsia="Times New Roman" w:hAnsi="Times New Roman" w:cs="Times New Roman"/>
          <w:spacing w:val="10"/>
          <w:sz w:val="28"/>
          <w:szCs w:val="28"/>
        </w:rPr>
        <w:t xml:space="preserve"> </w:t>
      </w:r>
      <w:r>
        <w:rPr>
          <w:rFonts w:ascii="Times New Roman" w:eastAsia="Times New Roman" w:hAnsi="Times New Roman" w:cs="Times New Roman"/>
          <w:sz w:val="28"/>
          <w:szCs w:val="28"/>
        </w:rPr>
        <w:t>деревьев</w:t>
      </w:r>
      <w:r>
        <w:rPr>
          <w:rFonts w:ascii="Times New Roman" w:eastAsia="Times New Roman" w:hAnsi="Times New Roman" w:cs="Times New Roman"/>
          <w:spacing w:val="17"/>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3"/>
          <w:sz w:val="28"/>
          <w:szCs w:val="28"/>
        </w:rPr>
        <w:t xml:space="preserve"> 126,14</w:t>
      </w:r>
      <w:r>
        <w:rPr>
          <w:rFonts w:ascii="Times New Roman" w:eastAsia="Times New Roman" w:hAnsi="Times New Roman" w:cs="Times New Roman"/>
          <w:spacing w:val="22"/>
          <w:sz w:val="28"/>
          <w:szCs w:val="28"/>
        </w:rPr>
        <w:t xml:space="preserve"> </w:t>
      </w:r>
      <w:r>
        <w:rPr>
          <w:rFonts w:ascii="Times New Roman" w:eastAsia="Times New Roman" w:hAnsi="Times New Roman" w:cs="Times New Roman"/>
          <w:sz w:val="28"/>
          <w:szCs w:val="28"/>
        </w:rPr>
        <w:t>плотных</w:t>
      </w:r>
      <w:r>
        <w:rPr>
          <w:rFonts w:ascii="Times New Roman" w:eastAsia="Times New Roman" w:hAnsi="Times New Roman" w:cs="Times New Roman"/>
          <w:spacing w:val="27"/>
          <w:sz w:val="28"/>
          <w:szCs w:val="28"/>
        </w:rPr>
        <w:t xml:space="preserve"> </w:t>
      </w:r>
      <w:r>
        <w:rPr>
          <w:rFonts w:ascii="Times New Roman" w:eastAsia="Times New Roman" w:hAnsi="Times New Roman" w:cs="Times New Roman"/>
          <w:spacing w:val="-5"/>
          <w:sz w:val="28"/>
          <w:szCs w:val="28"/>
        </w:rPr>
        <w:t>м</w:t>
      </w:r>
      <w:r>
        <w:rPr>
          <w:rFonts w:ascii="Times New Roman" w:eastAsia="Times New Roman" w:hAnsi="Times New Roman" w:cs="Times New Roman"/>
          <w:spacing w:val="-5"/>
          <w:sz w:val="28"/>
          <w:szCs w:val="28"/>
          <w:vertAlign w:val="superscript"/>
        </w:rPr>
        <w:t>2</w:t>
      </w:r>
      <w:r>
        <w:rPr>
          <w:rFonts w:ascii="Times New Roman" w:eastAsia="Times New Roman" w:hAnsi="Times New Roman" w:cs="Times New Roman"/>
          <w:spacing w:val="-5"/>
          <w:sz w:val="28"/>
          <w:szCs w:val="28"/>
        </w:rPr>
        <w:t>.</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опрыскивание</w:t>
      </w:r>
      <w:r>
        <w:rPr>
          <w:rFonts w:ascii="Times New Roman" w:eastAsia="Times New Roman" w:hAnsi="Times New Roman" w:cs="Times New Roman"/>
          <w:spacing w:val="38"/>
          <w:sz w:val="28"/>
          <w:szCs w:val="28"/>
        </w:rPr>
        <w:t xml:space="preserve"> </w:t>
      </w:r>
      <w:r>
        <w:rPr>
          <w:rFonts w:ascii="Times New Roman" w:eastAsia="Times New Roman" w:hAnsi="Times New Roman" w:cs="Times New Roman"/>
          <w:sz w:val="28"/>
          <w:szCs w:val="28"/>
        </w:rPr>
        <w:t>плодовых</w:t>
      </w:r>
      <w:r>
        <w:rPr>
          <w:rFonts w:ascii="Times New Roman" w:eastAsia="Times New Roman" w:hAnsi="Times New Roman" w:cs="Times New Roman"/>
          <w:spacing w:val="29"/>
          <w:sz w:val="28"/>
          <w:szCs w:val="28"/>
        </w:rPr>
        <w:t xml:space="preserve"> </w:t>
      </w:r>
      <w:r>
        <w:rPr>
          <w:rFonts w:ascii="Times New Roman" w:eastAsia="Times New Roman" w:hAnsi="Times New Roman" w:cs="Times New Roman"/>
          <w:sz w:val="28"/>
          <w:szCs w:val="28"/>
        </w:rPr>
        <w:t>деревьев</w:t>
      </w:r>
      <w:r>
        <w:rPr>
          <w:rFonts w:ascii="Times New Roman" w:eastAsia="Times New Roman" w:hAnsi="Times New Roman" w:cs="Times New Roman"/>
          <w:spacing w:val="14"/>
          <w:sz w:val="28"/>
          <w:szCs w:val="28"/>
        </w:rPr>
        <w:t xml:space="preserve"> </w:t>
      </w:r>
      <w:r>
        <w:rPr>
          <w:rFonts w:ascii="Times New Roman" w:eastAsia="Times New Roman" w:hAnsi="Times New Roman" w:cs="Times New Roman"/>
          <w:sz w:val="28"/>
          <w:szCs w:val="28"/>
        </w:rPr>
        <w:t>от</w:t>
      </w:r>
      <w:r>
        <w:rPr>
          <w:rFonts w:ascii="Times New Roman" w:eastAsia="Times New Roman" w:hAnsi="Times New Roman" w:cs="Times New Roman"/>
          <w:spacing w:val="16"/>
          <w:sz w:val="28"/>
          <w:szCs w:val="28"/>
        </w:rPr>
        <w:t xml:space="preserve"> </w:t>
      </w:r>
      <w:r>
        <w:rPr>
          <w:rFonts w:ascii="Times New Roman" w:eastAsia="Times New Roman" w:hAnsi="Times New Roman" w:cs="Times New Roman"/>
          <w:sz w:val="28"/>
          <w:szCs w:val="28"/>
        </w:rPr>
        <w:t>вредителей</w:t>
      </w:r>
      <w:r>
        <w:rPr>
          <w:rFonts w:ascii="Times New Roman" w:eastAsia="Times New Roman" w:hAnsi="Times New Roman" w:cs="Times New Roman"/>
          <w:spacing w:val="41"/>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10"/>
          <w:sz w:val="28"/>
          <w:szCs w:val="28"/>
        </w:rPr>
        <w:t xml:space="preserve"> 1644</w:t>
      </w:r>
      <w:r>
        <w:rPr>
          <w:rFonts w:ascii="Times New Roman" w:eastAsia="Times New Roman" w:hAnsi="Times New Roman" w:cs="Times New Roman"/>
          <w:spacing w:val="11"/>
          <w:sz w:val="28"/>
          <w:szCs w:val="28"/>
        </w:rPr>
        <w:t xml:space="preserve"> </w:t>
      </w:r>
      <w:r>
        <w:rPr>
          <w:rFonts w:ascii="Times New Roman" w:eastAsia="Times New Roman" w:hAnsi="Times New Roman" w:cs="Times New Roman"/>
          <w:sz w:val="28"/>
          <w:szCs w:val="28"/>
        </w:rPr>
        <w:t>ед.</w:t>
      </w:r>
      <w:r>
        <w:rPr>
          <w:rFonts w:ascii="Times New Roman" w:eastAsia="Times New Roman" w:hAnsi="Times New Roman" w:cs="Times New Roman"/>
          <w:spacing w:val="11"/>
          <w:sz w:val="28"/>
          <w:szCs w:val="28"/>
        </w:rPr>
        <w:t xml:space="preserve"> </w:t>
      </w:r>
      <w:r>
        <w:rPr>
          <w:rFonts w:ascii="Times New Roman" w:eastAsia="Times New Roman" w:hAnsi="Times New Roman" w:cs="Times New Roman"/>
          <w:spacing w:val="-2"/>
          <w:sz w:val="28"/>
          <w:szCs w:val="28"/>
        </w:rPr>
        <w:t>(двукратно);</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опрыскивание</w:t>
      </w:r>
      <w:r>
        <w:rPr>
          <w:rFonts w:ascii="Times New Roman" w:eastAsia="Times New Roman" w:hAnsi="Times New Roman" w:cs="Times New Roman"/>
          <w:spacing w:val="31"/>
          <w:sz w:val="28"/>
          <w:szCs w:val="28"/>
        </w:rPr>
        <w:t xml:space="preserve"> </w:t>
      </w:r>
      <w:r>
        <w:rPr>
          <w:rFonts w:ascii="Times New Roman" w:eastAsia="Times New Roman" w:hAnsi="Times New Roman" w:cs="Times New Roman"/>
          <w:sz w:val="28"/>
          <w:szCs w:val="28"/>
        </w:rPr>
        <w:t>газонов</w:t>
      </w:r>
      <w:r>
        <w:rPr>
          <w:rFonts w:ascii="Times New Roman" w:eastAsia="Times New Roman" w:hAnsi="Times New Roman" w:cs="Times New Roman"/>
          <w:spacing w:val="14"/>
          <w:sz w:val="28"/>
          <w:szCs w:val="28"/>
        </w:rPr>
        <w:t xml:space="preserve"> </w:t>
      </w:r>
      <w:r>
        <w:rPr>
          <w:rFonts w:ascii="Times New Roman" w:eastAsia="Times New Roman" w:hAnsi="Times New Roman" w:cs="Times New Roman"/>
          <w:sz w:val="28"/>
          <w:szCs w:val="28"/>
        </w:rPr>
        <w:t>от</w:t>
      </w:r>
      <w:r>
        <w:rPr>
          <w:rFonts w:ascii="Times New Roman" w:eastAsia="Times New Roman" w:hAnsi="Times New Roman" w:cs="Times New Roman"/>
          <w:spacing w:val="9"/>
          <w:sz w:val="28"/>
          <w:szCs w:val="28"/>
        </w:rPr>
        <w:t xml:space="preserve"> </w:t>
      </w:r>
      <w:r>
        <w:rPr>
          <w:rFonts w:ascii="Times New Roman" w:eastAsia="Times New Roman" w:hAnsi="Times New Roman" w:cs="Times New Roman"/>
          <w:sz w:val="28"/>
          <w:szCs w:val="28"/>
        </w:rPr>
        <w:t>клещей</w:t>
      </w:r>
      <w:r>
        <w:rPr>
          <w:rFonts w:ascii="Times New Roman" w:eastAsia="Times New Roman" w:hAnsi="Times New Roman" w:cs="Times New Roman"/>
          <w:spacing w:val="23"/>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spacing w:val="2"/>
          <w:sz w:val="28"/>
          <w:szCs w:val="28"/>
        </w:rPr>
        <w:t xml:space="preserve"> 194640,07</w:t>
      </w:r>
      <w:r>
        <w:rPr>
          <w:rFonts w:ascii="Times New Roman" w:eastAsia="Times New Roman" w:hAnsi="Times New Roman" w:cs="Times New Roman"/>
          <w:spacing w:val="29"/>
          <w:sz w:val="28"/>
          <w:szCs w:val="28"/>
        </w:rPr>
        <w:t xml:space="preserve"> </w:t>
      </w:r>
      <w:r>
        <w:rPr>
          <w:rFonts w:ascii="Times New Roman" w:eastAsia="Times New Roman" w:hAnsi="Times New Roman" w:cs="Times New Roman"/>
          <w:spacing w:val="-5"/>
          <w:sz w:val="28"/>
          <w:szCs w:val="28"/>
        </w:rPr>
        <w:t>м</w:t>
      </w:r>
      <w:r>
        <w:rPr>
          <w:rFonts w:ascii="Times New Roman" w:eastAsia="Times New Roman" w:hAnsi="Times New Roman" w:cs="Times New Roman"/>
          <w:spacing w:val="-5"/>
          <w:sz w:val="28"/>
          <w:szCs w:val="28"/>
          <w:vertAlign w:val="superscript"/>
        </w:rPr>
        <w:t>2</w:t>
      </w:r>
      <w:r>
        <w:rPr>
          <w:rFonts w:ascii="Times New Roman" w:eastAsia="Times New Roman" w:hAnsi="Times New Roman" w:cs="Times New Roman"/>
          <w:spacing w:val="-5"/>
          <w:sz w:val="28"/>
          <w:szCs w:val="28"/>
        </w:rPr>
        <w:t>:</w:t>
      </w:r>
    </w:p>
    <w:p w:rsidR="00B52DE3" w:rsidRDefault="00DE73E3">
      <w:pPr>
        <w:widowControl w:val="0"/>
        <w:tabs>
          <w:tab w:val="left" w:pos="42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посадка</w:t>
      </w:r>
      <w:r>
        <w:rPr>
          <w:rFonts w:ascii="Times New Roman" w:eastAsia="Times New Roman" w:hAnsi="Times New Roman" w:cs="Times New Roman"/>
          <w:spacing w:val="-6"/>
          <w:sz w:val="28"/>
          <w:szCs w:val="28"/>
        </w:rPr>
        <w:t xml:space="preserve"> </w:t>
      </w:r>
      <w:r>
        <w:rPr>
          <w:rFonts w:ascii="Times New Roman" w:eastAsia="Times New Roman" w:hAnsi="Times New Roman" w:cs="Times New Roman"/>
          <w:color w:val="000000"/>
          <w:spacing w:val="-2"/>
          <w:sz w:val="28"/>
          <w:szCs w:val="28"/>
        </w:rPr>
        <w:t>цветов однолетников - 57 901 шт.;</w:t>
      </w:r>
    </w:p>
    <w:p w:rsidR="00B52DE3" w:rsidRDefault="00DE73E3">
      <w:pPr>
        <w:spacing w:after="0" w:line="360" w:lineRule="auto"/>
        <w:rPr>
          <w:rFonts w:ascii="Times New Roman" w:hAnsi="Times New Roman" w:cs="Times New Roman"/>
        </w:rPr>
      </w:pPr>
      <w:r>
        <w:rPr>
          <w:rFonts w:ascii="Times New Roman" w:eastAsia="Times New Roman" w:hAnsi="Times New Roman" w:cs="Times New Roman"/>
          <w:color w:val="000000"/>
          <w:spacing w:val="-2"/>
          <w:sz w:val="28"/>
          <w:szCs w:val="28"/>
        </w:rPr>
        <w:tab/>
        <w:t>посадка многолетних растений - 3055 шт.;</w:t>
      </w:r>
    </w:p>
    <w:p w:rsidR="00B52DE3" w:rsidRDefault="00DE73E3">
      <w:pPr>
        <w:spacing w:after="0" w:line="360" w:lineRule="auto"/>
        <w:jc w:val="both"/>
        <w:rPr>
          <w:rFonts w:ascii="Times New Roman" w:hAnsi="Times New Roman" w:cs="Times New Roman"/>
        </w:rPr>
      </w:pPr>
      <w:r>
        <w:rPr>
          <w:rFonts w:ascii="Times New Roman" w:eastAsia="Times New Roman" w:hAnsi="Times New Roman" w:cs="Times New Roman"/>
          <w:color w:val="000000"/>
          <w:spacing w:val="-2"/>
          <w:sz w:val="28"/>
          <w:szCs w:val="28"/>
        </w:rPr>
        <w:tab/>
        <w:t xml:space="preserve">посадка деревьев </w:t>
      </w:r>
      <w:proofErr w:type="spellStart"/>
      <w:r>
        <w:rPr>
          <w:rFonts w:ascii="Times New Roman" w:eastAsia="Times New Roman" w:hAnsi="Times New Roman" w:cs="Times New Roman"/>
          <w:color w:val="000000"/>
          <w:spacing w:val="-2"/>
          <w:sz w:val="28"/>
          <w:szCs w:val="28"/>
        </w:rPr>
        <w:t>крупномеров</w:t>
      </w:r>
      <w:proofErr w:type="spellEnd"/>
      <w:r>
        <w:rPr>
          <w:rFonts w:ascii="Times New Roman" w:eastAsia="Times New Roman" w:hAnsi="Times New Roman" w:cs="Times New Roman"/>
          <w:color w:val="000000"/>
          <w:spacing w:val="-2"/>
          <w:sz w:val="28"/>
          <w:szCs w:val="28"/>
        </w:rPr>
        <w:t xml:space="preserve"> — 63 ед.</w:t>
      </w:r>
    </w:p>
    <w:p w:rsidR="00B52DE3" w:rsidRDefault="00DE73E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2025 году в рамках контрактов высажено 63 единицы хвойных деревьев </w:t>
      </w:r>
      <w:proofErr w:type="spellStart"/>
      <w:r>
        <w:rPr>
          <w:rFonts w:ascii="Times New Roman" w:eastAsia="Times New Roman" w:hAnsi="Times New Roman" w:cs="Times New Roman"/>
          <w:sz w:val="28"/>
          <w:szCs w:val="28"/>
        </w:rPr>
        <w:t>крупномеров</w:t>
      </w:r>
      <w:proofErr w:type="spellEnd"/>
      <w:r>
        <w:rPr>
          <w:rFonts w:ascii="Times New Roman" w:eastAsia="Times New Roman" w:hAnsi="Times New Roman" w:cs="Times New Roman"/>
          <w:sz w:val="28"/>
          <w:szCs w:val="28"/>
        </w:rPr>
        <w:t xml:space="preserve"> (от 1,3 м до 2,2 м высотой) по следующим адресам:</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ул. Владивостокское шоссе (почта) 20 ед. сосна корейская; </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ул. Вокзальная дамба, 12 - 8 ед. сосна корейская; </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ул. ⁠Некрасова 94, 96 - 10 единиц пихта </w:t>
      </w:r>
      <w:proofErr w:type="spellStart"/>
      <w:r>
        <w:rPr>
          <w:rFonts w:ascii="Times New Roman" w:eastAsia="Times New Roman" w:hAnsi="Times New Roman" w:cs="Times New Roman"/>
          <w:sz w:val="28"/>
          <w:szCs w:val="28"/>
        </w:rPr>
        <w:t>цельнолистная</w:t>
      </w:r>
      <w:proofErr w:type="spellEnd"/>
      <w:r>
        <w:rPr>
          <w:rFonts w:ascii="Times New Roman" w:eastAsia="Times New Roman" w:hAnsi="Times New Roman" w:cs="Times New Roman"/>
          <w:sz w:val="28"/>
          <w:szCs w:val="28"/>
        </w:rPr>
        <w:t xml:space="preserve"> (гибрид); </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ул. Тургенева (четная сторона от ул. Комсомольская) - 7 ед. сосна обыкновенная;</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ул. Советская - Чичерина - 3 ед. сосна обыкновенная;</w:t>
      </w:r>
    </w:p>
    <w:p w:rsidR="00B52DE3" w:rsidRDefault="00DE73E3">
      <w:pPr>
        <w:spacing w:after="0" w:line="360" w:lineRule="auto"/>
        <w:ind w:firstLine="709"/>
        <w:jc w:val="both"/>
        <w:rPr>
          <w:rFonts w:ascii="Times New Roman" w:eastAsia="Times New Roman" w:hAnsi="Times New Roman" w:cs="Times New Roman"/>
          <w:spacing w:val="-5"/>
          <w:sz w:val="28"/>
          <w:szCs w:val="28"/>
        </w:rPr>
      </w:pPr>
      <w:r>
        <w:rPr>
          <w:rFonts w:ascii="Times New Roman" w:eastAsia="Times New Roman" w:hAnsi="Times New Roman" w:cs="Times New Roman"/>
          <w:sz w:val="28"/>
          <w:szCs w:val="28"/>
        </w:rPr>
        <w:t xml:space="preserve">ул. </w:t>
      </w:r>
      <w:r>
        <w:rPr>
          <w:rFonts w:ascii="Times New Roman" w:eastAsia="Times New Roman" w:hAnsi="Times New Roman" w:cs="Times New Roman"/>
          <w:spacing w:val="-5"/>
          <w:sz w:val="28"/>
          <w:szCs w:val="28"/>
        </w:rPr>
        <w:t xml:space="preserve">⁠Владивостокское шоссе (Хенина) - 15 единиц пихта </w:t>
      </w:r>
      <w:proofErr w:type="spellStart"/>
      <w:r>
        <w:rPr>
          <w:rFonts w:ascii="Times New Roman" w:eastAsia="Times New Roman" w:hAnsi="Times New Roman" w:cs="Times New Roman"/>
          <w:spacing w:val="-5"/>
          <w:sz w:val="28"/>
          <w:szCs w:val="28"/>
        </w:rPr>
        <w:t>белокорая</w:t>
      </w:r>
      <w:proofErr w:type="spellEnd"/>
      <w:r>
        <w:rPr>
          <w:rFonts w:ascii="Times New Roman" w:eastAsia="Times New Roman" w:hAnsi="Times New Roman" w:cs="Times New Roman"/>
          <w:spacing w:val="-5"/>
          <w:sz w:val="28"/>
          <w:szCs w:val="28"/>
        </w:rPr>
        <w:t>.</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Замена на клумбах однолетних растений многолетними:</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транспортная развязка 5 км;</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ул. Ленина, 91;</w:t>
      </w:r>
    </w:p>
    <w:p w:rsidR="00B52DE3" w:rsidRDefault="00DE73E3">
      <w:pPr>
        <w:spacing w:after="0" w:line="360" w:lineRule="auto"/>
        <w:ind w:firstLine="709"/>
        <w:jc w:val="both"/>
        <w:rPr>
          <w:rFonts w:ascii="Times New Roman" w:hAnsi="Times New Roman" w:cs="Times New Roman"/>
        </w:rPr>
      </w:pPr>
      <w:bookmarkStart w:id="99" w:name="_GoBack_Копия_3"/>
      <w:bookmarkEnd w:id="99"/>
      <w:r>
        <w:rPr>
          <w:rFonts w:ascii="Times New Roman" w:eastAsia="Times New Roman" w:hAnsi="Times New Roman" w:cs="Times New Roman"/>
          <w:sz w:val="28"/>
          <w:szCs w:val="28"/>
        </w:rPr>
        <w:t>ул. Ленина – ул. Комсомольская (4 клумбы).</w:t>
      </w:r>
      <w:bookmarkStart w:id="100" w:name="_GoBack_Копия_4"/>
      <w:bookmarkEnd w:id="100"/>
    </w:p>
    <w:p w:rsidR="00B52DE3" w:rsidRDefault="00DE73E3">
      <w:pPr>
        <w:widowControl w:val="0"/>
        <w:tabs>
          <w:tab w:val="left" w:pos="300"/>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Общее количество заключенных и качественно исполненных контрактов Отделом по работе с зеленными насаждениями в рамках программных</w:t>
      </w:r>
      <w:r>
        <w:rPr>
          <w:rFonts w:ascii="Times New Roman" w:eastAsia="Times New Roman" w:hAnsi="Times New Roman" w:cs="Times New Roman"/>
          <w:spacing w:val="40"/>
          <w:sz w:val="28"/>
          <w:szCs w:val="28"/>
        </w:rPr>
        <w:t xml:space="preserve"> </w:t>
      </w:r>
      <w:r>
        <w:rPr>
          <w:rFonts w:ascii="Times New Roman" w:eastAsia="Times New Roman" w:hAnsi="Times New Roman" w:cs="Times New Roman"/>
          <w:sz w:val="28"/>
          <w:szCs w:val="28"/>
        </w:rPr>
        <w:t>мероприятий составляет 19 контрактов</w:t>
      </w:r>
      <w:r>
        <w:rPr>
          <w:rFonts w:ascii="Times New Roman" w:eastAsia="Times New Roman" w:hAnsi="Times New Roman" w:cs="Times New Roman"/>
          <w:spacing w:val="2"/>
          <w:sz w:val="28"/>
          <w:szCs w:val="28"/>
        </w:rPr>
        <w:t xml:space="preserve"> на 31662269 руб.                  20 коп. </w:t>
      </w:r>
      <w:r>
        <w:rPr>
          <w:rFonts w:ascii="Times New Roman" w:eastAsia="Times New Roman" w:hAnsi="Times New Roman" w:cs="Times New Roman"/>
          <w:spacing w:val="5"/>
          <w:sz w:val="28"/>
          <w:szCs w:val="28"/>
        </w:rPr>
        <w:t xml:space="preserve">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За период с 01 января по 23 декабря 2025 года отделом благоустройства, ритуальных услуг и похоронного дела МКУ «СЕЗЗ» были произведены следующие виды работ:</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уборка территорий вокруг ТКО, замусоренных территорий, собственность на которые не разграничена, а также не переданных в аренду или собственность – 228 246,00 м</w:t>
      </w:r>
      <w:r>
        <w:rPr>
          <w:rFonts w:ascii="Times New Roman" w:eastAsia="Times New Roman" w:hAnsi="Times New Roman" w:cs="Times New Roman"/>
          <w:sz w:val="28"/>
          <w:szCs w:val="28"/>
          <w:vertAlign w:val="superscript"/>
        </w:rPr>
        <w:t xml:space="preserve">2 </w:t>
      </w:r>
      <w:r>
        <w:rPr>
          <w:rFonts w:ascii="Times New Roman" w:eastAsia="Times New Roman" w:hAnsi="Times New Roman" w:cs="Times New Roman"/>
          <w:sz w:val="28"/>
          <w:szCs w:val="28"/>
        </w:rPr>
        <w:t>на сумму 7 373 308,07 руб.;</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дератизация, дезинфекция, дезинсекция площадок ТКО на сумму 355 996,74 руб.;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покос травы на </w:t>
      </w:r>
      <w:proofErr w:type="spellStart"/>
      <w:r>
        <w:rPr>
          <w:rFonts w:ascii="Times New Roman" w:eastAsia="Times New Roman" w:hAnsi="Times New Roman" w:cs="Times New Roman"/>
          <w:sz w:val="28"/>
          <w:szCs w:val="28"/>
        </w:rPr>
        <w:t>неразграниченных</w:t>
      </w:r>
      <w:proofErr w:type="spellEnd"/>
      <w:r>
        <w:rPr>
          <w:rFonts w:ascii="Times New Roman" w:eastAsia="Times New Roman" w:hAnsi="Times New Roman" w:cs="Times New Roman"/>
          <w:sz w:val="28"/>
          <w:szCs w:val="28"/>
        </w:rPr>
        <w:t xml:space="preserve"> территориях и территориях, не переданных в аренду или собственность – 450 000 м</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xml:space="preserve"> на сумму 2 898 672,28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покос травы на объекте незавершенного строительства: «Защита </w:t>
      </w:r>
      <w:r>
        <w:rPr>
          <w:rFonts w:ascii="Times New Roman" w:eastAsia="Times New Roman" w:hAnsi="Times New Roman" w:cs="Times New Roman"/>
          <w:sz w:val="28"/>
          <w:szCs w:val="28"/>
        </w:rPr>
        <w:br/>
        <w:t xml:space="preserve">от наводнений г. Уссурийск, п. Покровка и прилегающих сельхозугодий в долине р. Раздольная (регулирование стока и русла р. </w:t>
      </w:r>
      <w:proofErr w:type="spellStart"/>
      <w:r>
        <w:rPr>
          <w:rFonts w:ascii="Times New Roman" w:eastAsia="Times New Roman" w:hAnsi="Times New Roman" w:cs="Times New Roman"/>
          <w:sz w:val="28"/>
          <w:szCs w:val="28"/>
        </w:rPr>
        <w:t>Раковки</w:t>
      </w:r>
      <w:proofErr w:type="spellEnd"/>
      <w:r>
        <w:rPr>
          <w:rFonts w:ascii="Times New Roman" w:eastAsia="Times New Roman" w:hAnsi="Times New Roman" w:cs="Times New Roman"/>
          <w:sz w:val="28"/>
          <w:szCs w:val="28"/>
        </w:rPr>
        <w:t>)» - 310 000 м</w:t>
      </w:r>
      <w:r>
        <w:rPr>
          <w:rFonts w:ascii="Times New Roman" w:eastAsia="Times New Roman" w:hAnsi="Times New Roman" w:cs="Times New Roman"/>
          <w:sz w:val="28"/>
          <w:szCs w:val="28"/>
          <w:vertAlign w:val="superscript"/>
        </w:rPr>
        <w:t xml:space="preserve">2 </w:t>
      </w:r>
      <w:r>
        <w:rPr>
          <w:rFonts w:ascii="Times New Roman" w:eastAsia="Times New Roman" w:hAnsi="Times New Roman" w:cs="Times New Roman"/>
          <w:sz w:val="28"/>
          <w:szCs w:val="28"/>
        </w:rPr>
        <w:t>на сумму 2 384 901,82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подготовительные работы временной площадки для складирования снега и льда на сумму 397 959,76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вывоз с </w:t>
      </w:r>
      <w:proofErr w:type="spellStart"/>
      <w:r>
        <w:rPr>
          <w:rFonts w:ascii="Times New Roman" w:eastAsia="Times New Roman" w:hAnsi="Times New Roman" w:cs="Times New Roman"/>
          <w:sz w:val="28"/>
          <w:szCs w:val="28"/>
        </w:rPr>
        <w:t>неразграниченных</w:t>
      </w:r>
      <w:proofErr w:type="spellEnd"/>
      <w:r>
        <w:rPr>
          <w:rFonts w:ascii="Times New Roman" w:eastAsia="Times New Roman" w:hAnsi="Times New Roman" w:cs="Times New Roman"/>
          <w:sz w:val="28"/>
          <w:szCs w:val="28"/>
        </w:rPr>
        <w:t xml:space="preserve"> территорий и территорий, не переданных </w:t>
      </w:r>
      <w:r>
        <w:rPr>
          <w:rFonts w:ascii="Times New Roman" w:eastAsia="Times New Roman" w:hAnsi="Times New Roman" w:cs="Times New Roman"/>
          <w:sz w:val="28"/>
          <w:szCs w:val="28"/>
        </w:rPr>
        <w:br/>
        <w:t>в аренду или собственность и утилизация 73 500 кг шин на сумму 1 750 050,00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уборка упавших веток – 320 плотных м</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 xml:space="preserve"> на сумму 1 116 650,00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 xml:space="preserve">уборка биологических отходов с </w:t>
      </w:r>
      <w:proofErr w:type="spellStart"/>
      <w:r>
        <w:rPr>
          <w:rFonts w:ascii="Times New Roman" w:eastAsia="Times New Roman" w:hAnsi="Times New Roman" w:cs="Times New Roman"/>
          <w:sz w:val="28"/>
          <w:szCs w:val="28"/>
        </w:rPr>
        <w:t>неразграниченных</w:t>
      </w:r>
      <w:proofErr w:type="spellEnd"/>
      <w:r>
        <w:rPr>
          <w:rFonts w:ascii="Times New Roman" w:eastAsia="Times New Roman" w:hAnsi="Times New Roman" w:cs="Times New Roman"/>
          <w:sz w:val="28"/>
          <w:szCs w:val="28"/>
        </w:rPr>
        <w:t xml:space="preserve"> территорий </w:t>
      </w:r>
      <w:r>
        <w:rPr>
          <w:rFonts w:ascii="Times New Roman" w:eastAsia="Times New Roman" w:hAnsi="Times New Roman" w:cs="Times New Roman"/>
          <w:sz w:val="28"/>
          <w:szCs w:val="28"/>
        </w:rPr>
        <w:br/>
        <w:t>и территорий, не переданных в аренду или собственность – 657 кг на сумму 302 808,84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вывоз несанкционированных навалов мусора (свалок) – 2 955 м</w:t>
      </w:r>
      <w:r>
        <w:rPr>
          <w:rFonts w:ascii="Times New Roman" w:eastAsia="Times New Roman" w:hAnsi="Times New Roman" w:cs="Times New Roman"/>
          <w:sz w:val="28"/>
          <w:szCs w:val="28"/>
          <w:vertAlign w:val="superscript"/>
        </w:rPr>
        <w:t xml:space="preserve">3 </w:t>
      </w:r>
      <w:r>
        <w:rPr>
          <w:rFonts w:ascii="Times New Roman" w:eastAsia="Times New Roman" w:hAnsi="Times New Roman" w:cs="Times New Roman"/>
          <w:sz w:val="28"/>
          <w:szCs w:val="28"/>
        </w:rPr>
        <w:t>на сумму 3 786 774,00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устройство мест (площадок) накопления ТКО в количестве 38 </w:t>
      </w:r>
      <w:proofErr w:type="spellStart"/>
      <w:r>
        <w:rPr>
          <w:rFonts w:ascii="Times New Roman" w:eastAsia="Times New Roman" w:hAnsi="Times New Roman" w:cs="Times New Roman"/>
          <w:sz w:val="28"/>
          <w:szCs w:val="28"/>
        </w:rPr>
        <w:t>шт</w:t>
      </w:r>
      <w:proofErr w:type="spellEnd"/>
      <w:r>
        <w:rPr>
          <w:rFonts w:ascii="Times New Roman" w:eastAsia="Times New Roman" w:hAnsi="Times New Roman" w:cs="Times New Roman"/>
          <w:sz w:val="28"/>
          <w:szCs w:val="28"/>
        </w:rPr>
        <w:t xml:space="preserve"> на сумму 8 001 000,00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приобретение пластиковых контейнеров для сбора ТКО – 78 </w:t>
      </w:r>
      <w:proofErr w:type="spellStart"/>
      <w:r>
        <w:rPr>
          <w:rFonts w:ascii="Times New Roman" w:eastAsia="Times New Roman" w:hAnsi="Times New Roman" w:cs="Times New Roman"/>
          <w:sz w:val="28"/>
          <w:szCs w:val="28"/>
        </w:rPr>
        <w:t>шт</w:t>
      </w:r>
      <w:proofErr w:type="spellEnd"/>
      <w:r>
        <w:rPr>
          <w:rFonts w:ascii="Times New Roman" w:eastAsia="Times New Roman" w:hAnsi="Times New Roman" w:cs="Times New Roman"/>
          <w:sz w:val="28"/>
          <w:szCs w:val="28"/>
        </w:rPr>
        <w:t xml:space="preserve"> на сумму 1 956 863,24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косметический ремонт стелы на въезде в г. Уссурийск на сумму 188 000,00 руб.;</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pacing w:val="-2"/>
          <w:sz w:val="28"/>
          <w:szCs w:val="28"/>
        </w:rPr>
        <w:t>проведение субботников, приобретение мешков для мусора, вывоз собранного мусора на общую сумму 258 400,00 руб.</w:t>
      </w:r>
    </w:p>
    <w:p w:rsidR="00B52DE3" w:rsidRDefault="00B52DE3">
      <w:pPr>
        <w:spacing w:after="0" w:line="360" w:lineRule="auto"/>
        <w:ind w:firstLine="709"/>
        <w:jc w:val="both"/>
        <w:rPr>
          <w:rFonts w:ascii="Times New Roman" w:hAnsi="Times New Roman" w:cs="Times New Roman"/>
        </w:rPr>
      </w:pPr>
    </w:p>
    <w:p w:rsidR="00B52DE3" w:rsidRDefault="00DE73E3">
      <w:pPr>
        <w:pStyle w:val="2f6"/>
        <w:keepNext w:val="0"/>
        <w:spacing w:before="0"/>
        <w:ind w:left="0"/>
      </w:pPr>
      <w:bookmarkStart w:id="101" w:name="_Toc92"/>
      <w:r>
        <w:t>Благоустройство сел</w:t>
      </w:r>
      <w:bookmarkEnd w:id="101"/>
    </w:p>
    <w:p w:rsidR="00B52DE3" w:rsidRDefault="00B52DE3">
      <w:pPr>
        <w:pStyle w:val="2f6"/>
        <w:keepNext w:val="0"/>
        <w:spacing w:before="0"/>
        <w:ind w:left="0"/>
      </w:pP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рамках муниципальной программы «Благоустройство территории Уссурийского городского округа» на 2017 - 2027 годы во всех населенных пунктах выполнялись работы по муниципальным контрактам:</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выполнение работ по содержанию территорий общего пользования, не переданных в аренду или собственность (уборка мусора на территориях общего пользования, государственная собственность на которые не разграничена) в населенных пунктах Уссурийского городского округа;</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выполнение работ по содержанию территорий общего пользования, не переданных в аренду или собственность (ликвидация мест несанкционированного складирования бесхозяйных отходов производства и потребления) в населенных пунктах Уссурийского городского округа;</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выполнение работ по обеззараживанию шахтных колодцев, являющихся источником децентрализованного водоснабжения в населенных </w:t>
      </w:r>
      <w:r>
        <w:rPr>
          <w:rFonts w:ascii="Times New Roman" w:eastAsia="Times New Roman" w:hAnsi="Times New Roman" w:cs="Times New Roman"/>
          <w:sz w:val="28"/>
          <w:szCs w:val="28"/>
        </w:rPr>
        <w:lastRenderedPageBreak/>
        <w:t>пунктах Уссурийского городского;</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выполнение работ по содержанию территорий общего пользования, не переданных в аренду или собственность (выкашивание зеленых зон), в населенных пунктах Уссурийского городского округа.</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Специалистами отделов по работе с территориями осуществлялся контроль за своевременным вывозом твердых коммунальных отходов с территорий сельских населенных пунктов.</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01 апреля по 31 мая 2025 года проводился двухмесячник по благоустройству и санитарной очистке территорий населенных пунктов.</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весенний период осуществлялись мероприятия по содержанию сельских населенных пунктов в целях недопущения ЧС, в том числе расчистка территории от сухой травянистой растительности.</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зимний период осуществлялись мероприятия по содержанию сельских населенных пунктов в целях недопущения ЧС в зимний период, в том числе расчистка территории от снега.</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Сотрудниками отделов по работе с территориями проводилась разъяснительная работа с жителями сел и руководителями организаций всех форм собственности о необходимости очистки территорий от мусора, выкоса травы в границах санитарной ответственности, в зимнее время года – расчистки от снега. Проводились рейды в сельских населенных пунктах с участием представителей общественности с целью выявления случаев нарушения установленных норм и правил в сфере жилищно-коммунального хозяйства, правил содержания домашних животных.</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2025 реализованы 2 (два) проекта-победителя краевого конкурса проектов, инициируемые жителями УГО (</w:t>
      </w:r>
      <w:proofErr w:type="spellStart"/>
      <w:r>
        <w:rPr>
          <w:rFonts w:ascii="Times New Roman" w:eastAsia="Times New Roman" w:hAnsi="Times New Roman" w:cs="Times New Roman"/>
          <w:sz w:val="28"/>
          <w:szCs w:val="28"/>
        </w:rPr>
        <w:t>ТОСами</w:t>
      </w:r>
      <w:proofErr w:type="spellEnd"/>
      <w:r>
        <w:rPr>
          <w:rFonts w:ascii="Times New Roman" w:eastAsia="Times New Roman" w:hAnsi="Times New Roman" w:cs="Times New Roman"/>
          <w:sz w:val="28"/>
          <w:szCs w:val="28"/>
        </w:rPr>
        <w:t>):</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«Благоустройство дворовой территории», а именно асфальтирование придомовой территории в с. Степное, пер. Школьный д. 1</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«Моя Борисовка:</w:t>
      </w:r>
      <w:r w:rsidR="005A28E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комфортный двор</w:t>
      </w:r>
      <w:r w:rsidR="005A28E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5A28E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общее дело часть 2, а именно устройство асфальтового покрытия с элементами водоотведения на </w:t>
      </w:r>
      <w:r>
        <w:rPr>
          <w:rFonts w:ascii="Times New Roman" w:eastAsia="Times New Roman" w:hAnsi="Times New Roman" w:cs="Times New Roman"/>
          <w:sz w:val="28"/>
          <w:szCs w:val="28"/>
        </w:rPr>
        <w:lastRenderedPageBreak/>
        <w:t>территории многоквартирного дома по адресу с. Борисовка, ул. Новая, д. 5</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рамках реализации Муниципальной программы Уссурийского городского округа «Обеспечение первичных мер пожарной безопасности в границах Уссурийского городского округа» на 2023 - 2028 годы в 2025 году объем бюджетных ассигнований составил 5316,77791 тыс.рублей. Фактически освоено – 5119,708 тыс. руб., освоение 96,29 %. Произведены работы по монтажу пожарного резервуара РГ - 60, объёмом 60 куб.м в населенном пункте с. Николо - Львовское на сумму 835,00 тыс. руб.; Произведены работы по восстановлению подъездных путей к пожарным резервуарам по адресу Приморский край, г. Уссурийск, с. Загородное,                       п. Минеральный на сумму 2350,00 тыс. руб. произведены работы по обновлению противопожарных минерализованных полос в сельских населенных пунктах Уссурийского городского округа, протяженностью                   36,4 км на сумму 1725, 00 тыс. руб. Приобретено 400 л бензина АИ - 92 на сумму 25,508 тыс. руб. Произведены работы по содержанию 25875 кв.м (покос травы) на сумму 156,00 тыс. руб. Изготовлено 5 информационных полей для информационных щитов на сумму 28,20 тыс. руб.</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pStyle w:val="1fe"/>
        <w:keepNext w:val="0"/>
        <w:keepLines w:val="0"/>
        <w:spacing w:before="0" w:line="240" w:lineRule="auto"/>
      </w:pPr>
      <w:bookmarkStart w:id="102" w:name="_Toc93"/>
      <w:r>
        <w:rPr>
          <w:rFonts w:eastAsia="Times New Roman"/>
          <w:lang w:eastAsia="ru-RU"/>
        </w:rPr>
        <w:t xml:space="preserve">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w:t>
      </w:r>
      <w:r>
        <w:rPr>
          <w:rFonts w:eastAsia="Times New Roman"/>
          <w:lang w:eastAsia="ru-RU"/>
        </w:rPr>
        <w:lastRenderedPageBreak/>
        <w:t xml:space="preserve">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w:t>
      </w:r>
      <w:r>
        <w:rPr>
          <w:rFonts w:eastAsia="Times New Roman"/>
          <w:lang w:eastAsia="ru-RU"/>
        </w:rPr>
        <w:lastRenderedPageBreak/>
        <w:t>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bookmarkEnd w:id="102"/>
    </w:p>
    <w:p w:rsidR="00B52DE3" w:rsidRDefault="00B52DE3">
      <w:pPr>
        <w:pStyle w:val="1fe"/>
        <w:keepNext w:val="0"/>
        <w:keepLines w:val="0"/>
        <w:spacing w:before="0"/>
      </w:pPr>
    </w:p>
    <w:p w:rsidR="00B52DE3" w:rsidRDefault="00DE73E3">
      <w:pPr>
        <w:pStyle w:val="2f6"/>
        <w:keepNext w:val="0"/>
        <w:spacing w:before="0"/>
        <w:ind w:left="0"/>
      </w:pPr>
      <w:bookmarkStart w:id="103" w:name="_Toc94"/>
      <w:r>
        <w:t>Градостроительная деятельность</w:t>
      </w:r>
      <w:bookmarkEnd w:id="103"/>
    </w:p>
    <w:p w:rsidR="00B52DE3" w:rsidRDefault="00B52DE3">
      <w:pPr>
        <w:pStyle w:val="2f6"/>
        <w:keepNext w:val="0"/>
        <w:spacing w:before="0"/>
        <w:ind w:left="0"/>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Деятельность управления градостроительства администрации Уссурийского городского округа Приморского края (далее – управление) основывается на соблюдении Федерального закона от 06 октября 2003 года № 131-ФЗ «Об общих принципах организации местного самоуправления в Российской Федерации»,</w:t>
      </w:r>
      <w:r>
        <w:rPr>
          <w:rFonts w:ascii="Times New Roman" w:eastAsia="Times New Roman" w:hAnsi="Times New Roman" w:cs="Times New Roman"/>
          <w:sz w:val="28"/>
          <w:szCs w:val="28"/>
        </w:rPr>
        <w:t xml:space="preserve"> Федеральным законом от 20 марта 2025 года № 33-ФЗ «Об общих принципах организации местного самоуправления в единой системе публичной власти»</w:t>
      </w:r>
      <w:r>
        <w:rPr>
          <w:rFonts w:ascii="Times New Roman" w:eastAsia="Times New Roman" w:hAnsi="Times New Roman" w:cs="Times New Roman"/>
          <w:color w:val="000000"/>
          <w:sz w:val="28"/>
          <w:szCs w:val="28"/>
        </w:rPr>
        <w:t>, Земельного кодекса Российской Федерации, Градостроительного кодекса Российской Федерации, Устава Уссурийского городского округа и иными нормативными правовыми актами.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 рамках проведения градостроительной политики проведены публичные слушания и общественные обсуждения: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16 публичных слушаний по вопросу предоставления разрешения на условно разрешенный вид использования земельных участков;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2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12 общественные обсуждения по вопросу обсуждения документации по планировке территории;</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4 общественных обсуждений по вопросам внесения изменений в Правила землепользования и застройки Уссурийского городского округа.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Проведено заседаний Комиссии по правилам землепользования и застройки Уссурийского городского округа: 7 заседаний;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lastRenderedPageBreak/>
        <w:t xml:space="preserve">В 2025 году утверждено документации по планировке территории площадью 82,64 га, в рамках данных работ образованы земельные участки для развития жилищного строительства, образованы земельные участки для предоставления земельных участков под индивидуальное жилищное строительство ветераном боевых действий, образованы земельные участки для строительства социальных объектов, запланированы такие объекты как физкультурно-оздоровительный центр и средне образовательная школа с детским садом, спортивная площадка, здание котельной, образованы земельные участки для развития улично-дорожной сети, инженерной инфраструктуры и благоустройства.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 том числе, за счет средств местного бюджета в рамках муниципальной программы «Развитие градостроительной деятельности и деятельности в области земельных отношений в Уссурийском городском округе» на 2023 – 2029 годы, утвержденной постановлением администрации Уссурийского городского округа от 22 декабря 2015 года № 3596-НПА, исполнены и оплачены контракты по подготовке документации по планировке территории площадью 33,9 га на сумму 1015,22 тыс. рублей по следующим мероприятиям:</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Проведена работа по предоставлению разрешения на условно разрешенный вид использования земельных участков и разрешения на отклонение от предельных параметров разрешенного строительства, реконструкции объектов капитального строительства: 12 земельных участков.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Проведено согласование проектов планировки и проектов межевания территории на соответствие пространственным данным, согласно Приказа Министерства архитектуры и градостроительной политики Приморского края от 02 февраля 2024 года № 14-пр «Об утверждении технических требований к отраслевым пространственным данным Приморского края» в количестве 8 проектов.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lastRenderedPageBreak/>
        <w:t xml:space="preserve">В Управление </w:t>
      </w:r>
      <w:proofErr w:type="spellStart"/>
      <w:r>
        <w:rPr>
          <w:rFonts w:ascii="Times New Roman" w:eastAsia="Times New Roman" w:hAnsi="Times New Roman" w:cs="Times New Roman"/>
          <w:color w:val="000000"/>
          <w:sz w:val="28"/>
          <w:szCs w:val="28"/>
        </w:rPr>
        <w:t>Росреестра</w:t>
      </w:r>
      <w:proofErr w:type="spellEnd"/>
      <w:r>
        <w:rPr>
          <w:rFonts w:ascii="Times New Roman" w:eastAsia="Times New Roman" w:hAnsi="Times New Roman" w:cs="Times New Roman"/>
          <w:color w:val="000000"/>
          <w:sz w:val="28"/>
          <w:szCs w:val="28"/>
        </w:rPr>
        <w:t xml:space="preserve"> по Приморскому краю в рамках информационного взаимодействия по результатам принятых администрацией Уссурийского городского округа постановлений в отношений вопросов градостроительной политики направляются сведения о внесенных изменениях в действующие на территории Уссурийского городского округа Правила землепользования и застройки с границами территориальных зон, об утвержденных проектах межевания территории, о предоставлении разрешения на условно разрешенный вид использования земельных участков.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 рамках реализации мероприятий муниципальной программы «Развитие градостроительной деятельности и деятельности в области земельных отношений в Уссурийском городском округе» на 2023-2029 годы, на 2025 год, бюджетом Уссурийского городского округа с учетом внесенных изменений на реализацию программы в 2025 году предусмотрено финансирование в размере 4106,12 тыс. руб. на заключение</w:t>
      </w:r>
      <w:r>
        <w:rPr>
          <w:rFonts w:ascii="Times New Roman" w:eastAsia="Times New Roman" w:hAnsi="Times New Roman" w:cs="Times New Roman"/>
          <w:b/>
          <w:bCs/>
          <w:color w:val="000000" w:themeColor="dark1"/>
          <w:sz w:val="28"/>
          <w:szCs w:val="28"/>
        </w:rPr>
        <w:t xml:space="preserve"> </w:t>
      </w:r>
      <w:r>
        <w:rPr>
          <w:rFonts w:ascii="Times New Roman" w:eastAsia="Times New Roman" w:hAnsi="Times New Roman" w:cs="Times New Roman"/>
          <w:color w:val="000000" w:themeColor="dark1"/>
          <w:sz w:val="28"/>
          <w:szCs w:val="28"/>
        </w:rPr>
        <w:t>12 контрактов (договоров) и на проведение судебных экспертиз по определению Арбитражного суда, а именно:</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разработка проектов планировки и проектов межевания (33,9 га);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внесение денежных сумм, подлежащих выплате свидетелям, экспертам и специалистам (4 распоряжения);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вынос в натуру границ  земельных участков (80 земельных участков);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подготовка схемы расположения земельного участка на кадастровом плане территории (50 схем);</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межевание и постановка на кадастровый учет земельных участков </w:t>
      </w:r>
      <w:r>
        <w:rPr>
          <w:rFonts w:ascii="Times New Roman" w:eastAsia="Times New Roman" w:hAnsi="Times New Roman" w:cs="Times New Roman"/>
          <w:sz w:val="28"/>
          <w:szCs w:val="28"/>
        </w:rPr>
        <w:br/>
        <w:t>(221 земельный участок);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определение координат (19 объектов);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оценка рыночной стоимости земельных участков (169 земельных участков);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 xml:space="preserve">освобождение самовольно занятых земельных участков - </w:t>
      </w:r>
      <w:r>
        <w:rPr>
          <w:rFonts w:ascii="Times New Roman" w:eastAsia="Times New Roman" w:hAnsi="Times New Roman" w:cs="Times New Roman"/>
          <w:sz w:val="28"/>
          <w:szCs w:val="28"/>
        </w:rPr>
        <w:br/>
        <w:t>31 земельный участок освобожден путем демонтажа и переноса металлических гаражей в рамках муниципального контракта;</w:t>
      </w:r>
    </w:p>
    <w:p w:rsidR="00B52DE3" w:rsidRDefault="00DE73E3">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направление квитанций по исполнению договорных</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обязательств по аренде земельных участков (21400 шт.);</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перечисление денежных средств на Депозит Арбитражного суда Приморского края (4 экспертизы).</w:t>
      </w:r>
    </w:p>
    <w:p w:rsidR="00B52DE3" w:rsidRDefault="00B52DE3">
      <w:pPr>
        <w:widowControl w:val="0"/>
        <w:spacing w:after="0" w:line="360" w:lineRule="auto"/>
        <w:ind w:firstLine="709"/>
        <w:jc w:val="both"/>
        <w:rPr>
          <w:rFonts w:ascii="Times New Roman" w:hAnsi="Times New Roman" w:cs="Times New Roman"/>
          <w:color w:val="000000"/>
          <w:sz w:val="28"/>
          <w:szCs w:val="28"/>
        </w:rPr>
      </w:pPr>
    </w:p>
    <w:p w:rsidR="00B52DE3" w:rsidRDefault="00DE73E3">
      <w:pPr>
        <w:pStyle w:val="2f6"/>
        <w:keepNext w:val="0"/>
        <w:spacing w:before="0"/>
        <w:ind w:left="0"/>
      </w:pPr>
      <w:bookmarkStart w:id="104" w:name="_Toc95"/>
      <w:r>
        <w:t>Управление земельными ресурсами</w:t>
      </w:r>
      <w:bookmarkEnd w:id="104"/>
    </w:p>
    <w:p w:rsidR="00B52DE3" w:rsidRDefault="00B52DE3">
      <w:pPr>
        <w:pStyle w:val="2f6"/>
        <w:keepNext w:val="0"/>
        <w:spacing w:before="0"/>
        <w:ind w:left="0"/>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рамках реализации Закона Приморского края от 08 ноября 2011 года № 837-КЗ «О бесплатном предоставлении земельных участков гражданам, имеющим трех и более детей, в Приморском крае» за отчетный период предоставлено 33 земельных участка, для индивидуального жилищного строительства.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рамках Федерального закона от 01 мая 2016 года № 119-ФЗ </w:t>
      </w:r>
      <w:r>
        <w:rPr>
          <w:rFonts w:ascii="Times New Roman" w:eastAsia="Times New Roman" w:hAnsi="Times New Roman" w:cs="Times New Roman"/>
          <w:sz w:val="28"/>
          <w:szCs w:val="28"/>
        </w:rPr>
        <w:br/>
        <w:t>«Об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территории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в 2025 году заключены договоры безвозмездного пользования участками площадью: 161,4 га.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рамках Федерального закона от 29 декабря 2003 года № 90-КЗ                    «О регулировании земельных отношений в Приморском крае» предоставлены земельные участки общей площадью: 57,7 га.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Всем гражданам, получившим земельные участки, выданы акты передачи земельных участков для регистрации права.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Земельные участки, предоставленные посредством аукционов:</w:t>
      </w:r>
    </w:p>
    <w:tbl>
      <w:tblPr>
        <w:tblW w:w="9464" w:type="dxa"/>
        <w:tblInd w:w="-113" w:type="dxa"/>
        <w:tblLayout w:type="fixed"/>
        <w:tblLook w:val="04A0"/>
      </w:tblPr>
      <w:tblGrid>
        <w:gridCol w:w="829"/>
        <w:gridCol w:w="5933"/>
        <w:gridCol w:w="2702"/>
      </w:tblGrid>
      <w:tr w:rsidR="00B52DE3">
        <w:tc>
          <w:tcPr>
            <w:tcW w:w="82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lastRenderedPageBreak/>
              <w:t>1.</w:t>
            </w:r>
          </w:p>
        </w:tc>
        <w:tc>
          <w:tcPr>
            <w:tcW w:w="5933"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both"/>
              <w:rPr>
                <w:rFonts w:ascii="Times New Roman" w:hAnsi="Times New Roman" w:cs="Times New Roman"/>
              </w:rPr>
            </w:pPr>
            <w:r>
              <w:rPr>
                <w:rFonts w:ascii="Times New Roman" w:eastAsia="Times New Roman" w:hAnsi="Times New Roman" w:cs="Times New Roman"/>
                <w:sz w:val="28"/>
                <w:szCs w:val="28"/>
                <w:lang w:eastAsia="ru-RU"/>
              </w:rPr>
              <w:t>ИЖС</w:t>
            </w:r>
          </w:p>
        </w:tc>
        <w:tc>
          <w:tcPr>
            <w:tcW w:w="270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1,5 га (74 участка)</w:t>
            </w:r>
          </w:p>
        </w:tc>
      </w:tr>
      <w:tr w:rsidR="00B52DE3">
        <w:tc>
          <w:tcPr>
            <w:tcW w:w="829"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2.</w:t>
            </w:r>
          </w:p>
        </w:tc>
        <w:tc>
          <w:tcPr>
            <w:tcW w:w="5933"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both"/>
              <w:rPr>
                <w:rFonts w:ascii="Times New Roman" w:hAnsi="Times New Roman" w:cs="Times New Roman"/>
              </w:rPr>
            </w:pPr>
            <w:r>
              <w:rPr>
                <w:rFonts w:ascii="Times New Roman" w:eastAsia="Times New Roman" w:hAnsi="Times New Roman" w:cs="Times New Roman"/>
                <w:sz w:val="28"/>
                <w:szCs w:val="28"/>
                <w:lang w:eastAsia="ru-RU"/>
              </w:rPr>
              <w:t>Коммерческого назначения</w:t>
            </w:r>
          </w:p>
        </w:tc>
        <w:tc>
          <w:tcPr>
            <w:tcW w:w="270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8,3 га (9 участков)</w:t>
            </w:r>
          </w:p>
        </w:tc>
      </w:tr>
      <w:tr w:rsidR="00B52DE3">
        <w:tc>
          <w:tcPr>
            <w:tcW w:w="829" w:type="dxa"/>
            <w:tcBorders>
              <w:top w:val="single" w:sz="4" w:space="0" w:color="000000"/>
              <w:left w:val="single" w:sz="4" w:space="0" w:color="000000"/>
              <w:bottom w:val="single" w:sz="4" w:space="0" w:color="000000"/>
              <w:right w:val="single" w:sz="4" w:space="0" w:color="000000"/>
            </w:tcBorders>
          </w:tcPr>
          <w:p w:rsidR="00B52DE3" w:rsidRDefault="00B52DE3">
            <w:pPr>
              <w:spacing w:after="0" w:line="360" w:lineRule="auto"/>
              <w:jc w:val="both"/>
              <w:rPr>
                <w:rFonts w:ascii="Times New Roman" w:hAnsi="Times New Roman" w:cs="Times New Roman"/>
                <w:sz w:val="28"/>
                <w:szCs w:val="28"/>
              </w:rPr>
            </w:pPr>
          </w:p>
        </w:tc>
        <w:tc>
          <w:tcPr>
            <w:tcW w:w="5933"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both"/>
              <w:rPr>
                <w:rFonts w:ascii="Times New Roman" w:hAnsi="Times New Roman" w:cs="Times New Roman"/>
              </w:rPr>
            </w:pPr>
            <w:r>
              <w:rPr>
                <w:rFonts w:ascii="Times New Roman" w:eastAsia="Times New Roman" w:hAnsi="Times New Roman" w:cs="Times New Roman"/>
                <w:sz w:val="28"/>
                <w:szCs w:val="28"/>
                <w:lang w:eastAsia="ru-RU"/>
              </w:rPr>
              <w:t>Итого</w:t>
            </w:r>
          </w:p>
        </w:tc>
        <w:tc>
          <w:tcPr>
            <w:tcW w:w="270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9,8 га (83 участка)</w:t>
            </w:r>
          </w:p>
        </w:tc>
      </w:tr>
    </w:tbl>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 целью пресечения нарушений земельного законодательства, выразившихся в использовании земельных участков не по назначению, используемых в отсутствие правоустанавливающих документов на территории Уссурийского городского округа в 2025 году проводились мероприятия по муниципальному земельному контролю. За период 2025 года проведено 137 мероприятий без взаимодействия, а именно выездных обследований. </w:t>
      </w:r>
    </w:p>
    <w:p w:rsidR="00B52DE3" w:rsidRDefault="00DE73E3">
      <w:pPr>
        <w:spacing w:after="0" w:line="240" w:lineRule="auto"/>
        <w:ind w:firstLine="708"/>
        <w:jc w:val="center"/>
        <w:rPr>
          <w:rFonts w:ascii="Times New Roman" w:hAnsi="Times New Roman" w:cs="Times New Roman"/>
        </w:rPr>
      </w:pPr>
      <w:r>
        <w:rPr>
          <w:rFonts w:ascii="Times New Roman" w:eastAsia="Times New Roman" w:hAnsi="Times New Roman" w:cs="Times New Roman"/>
          <w:sz w:val="28"/>
          <w:szCs w:val="28"/>
          <w:lang w:eastAsia="ru-RU"/>
        </w:rPr>
        <w:t>Мероприятия по исполнению соблюдения земельного законодательства:</w:t>
      </w:r>
    </w:p>
    <w:tbl>
      <w:tblPr>
        <w:tblW w:w="9464" w:type="dxa"/>
        <w:tblInd w:w="-113" w:type="dxa"/>
        <w:tblLayout w:type="fixed"/>
        <w:tblLook w:val="04A0"/>
      </w:tblPr>
      <w:tblGrid>
        <w:gridCol w:w="861"/>
        <w:gridCol w:w="6042"/>
        <w:gridCol w:w="2561"/>
      </w:tblGrid>
      <w:tr w:rsidR="00B52DE3">
        <w:tc>
          <w:tcPr>
            <w:tcW w:w="86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1</w:t>
            </w:r>
          </w:p>
        </w:tc>
        <w:tc>
          <w:tcPr>
            <w:tcW w:w="604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w:t>
            </w:r>
          </w:p>
        </w:tc>
        <w:tc>
          <w:tcPr>
            <w:tcW w:w="256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3</w:t>
            </w:r>
          </w:p>
        </w:tc>
      </w:tr>
      <w:tr w:rsidR="00B52DE3">
        <w:tc>
          <w:tcPr>
            <w:tcW w:w="86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1.</w:t>
            </w:r>
          </w:p>
        </w:tc>
        <w:tc>
          <w:tcPr>
            <w:tcW w:w="604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Выявлено самовольно занятых земельных участков</w:t>
            </w:r>
          </w:p>
        </w:tc>
        <w:tc>
          <w:tcPr>
            <w:tcW w:w="2561"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23</w:t>
            </w:r>
          </w:p>
        </w:tc>
      </w:tr>
      <w:tr w:rsidR="00B52DE3">
        <w:trPr>
          <w:trHeight w:val="681"/>
        </w:trPr>
        <w:tc>
          <w:tcPr>
            <w:tcW w:w="861"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w:t>
            </w:r>
          </w:p>
        </w:tc>
        <w:tc>
          <w:tcPr>
            <w:tcW w:w="6042" w:type="dxa"/>
            <w:tcBorders>
              <w:top w:val="single" w:sz="4" w:space="0" w:color="000000"/>
              <w:left w:val="single" w:sz="4" w:space="0" w:color="000000"/>
              <w:bottom w:val="single" w:sz="4" w:space="0" w:color="000000"/>
              <w:right w:val="single" w:sz="4" w:space="0" w:color="000000"/>
            </w:tcBorders>
          </w:tcPr>
          <w:p w:rsidR="00B52DE3" w:rsidRDefault="00DE73E3">
            <w:pPr>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По выявлению земельных участков, используемых не по целевому назначению</w:t>
            </w:r>
          </w:p>
        </w:tc>
        <w:tc>
          <w:tcPr>
            <w:tcW w:w="2561"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22</w:t>
            </w:r>
          </w:p>
        </w:tc>
      </w:tr>
      <w:tr w:rsidR="00B52DE3">
        <w:trPr>
          <w:trHeight w:val="275"/>
        </w:trPr>
        <w:tc>
          <w:tcPr>
            <w:tcW w:w="86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3.</w:t>
            </w:r>
          </w:p>
        </w:tc>
        <w:tc>
          <w:tcPr>
            <w:tcW w:w="604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Вынесено предостережений</w:t>
            </w:r>
          </w:p>
        </w:tc>
        <w:tc>
          <w:tcPr>
            <w:tcW w:w="25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45</w:t>
            </w:r>
          </w:p>
        </w:tc>
      </w:tr>
    </w:tbl>
    <w:p w:rsidR="00B52DE3" w:rsidRDefault="00B52DE3">
      <w:pPr>
        <w:spacing w:after="0" w:line="360" w:lineRule="auto"/>
        <w:jc w:val="both"/>
        <w:rPr>
          <w:rFonts w:ascii="Times New Roman" w:hAnsi="Times New Roman" w:cs="Times New Roman"/>
          <w:sz w:val="28"/>
          <w:szCs w:val="28"/>
        </w:rPr>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Проведена большая </w:t>
      </w:r>
      <w:proofErr w:type="spellStart"/>
      <w:r>
        <w:rPr>
          <w:rFonts w:ascii="Times New Roman" w:eastAsia="Times New Roman" w:hAnsi="Times New Roman" w:cs="Times New Roman"/>
          <w:sz w:val="28"/>
          <w:szCs w:val="28"/>
        </w:rPr>
        <w:t>претензионно-исковая</w:t>
      </w:r>
      <w:proofErr w:type="spellEnd"/>
      <w:r>
        <w:rPr>
          <w:rFonts w:ascii="Times New Roman" w:eastAsia="Times New Roman" w:hAnsi="Times New Roman" w:cs="Times New Roman"/>
          <w:sz w:val="28"/>
          <w:szCs w:val="28"/>
        </w:rPr>
        <w:t xml:space="preserve"> работа по взысканию задолженности по арендной плате за земельные участки, предоставленные гражданам и юридическим лицам по договорам аренды в 2025 году:</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направлено арендаторам (физическим и юридическим лицам), имеющим задолженность требований (претензий) о погашении задолженности - 930 шт. на сумму 40 978 630,77 рублей;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подготовлено и направлено исков в суд по 205 договорам аренды земельных участков на сумму 6 946 420,45 рублей;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вынесено решений судов в пользу администрации Уссурийского городского округа по 66 договорам на сумму 2 205 670,56 рублей;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lastRenderedPageBreak/>
        <w:t>Принудительно взыскано отделом судебных приставов по УГО                            и иными УФССП России в соответствии с направленными исполнительными листами и судебными приказами  - 44 шт. на  сумму 1 062 728,58 рублей.</w:t>
      </w:r>
    </w:p>
    <w:p w:rsidR="00B52DE3" w:rsidRDefault="00DE73E3">
      <w:pPr>
        <w:pStyle w:val="2f6"/>
        <w:keepNext w:val="0"/>
        <w:spacing w:line="240" w:lineRule="auto"/>
        <w:ind w:left="0"/>
      </w:pPr>
      <w:bookmarkStart w:id="105" w:name="_Toc96"/>
      <w:r>
        <w:t>Оформление земельных участков из земель сельскохозяйственного назначения</w:t>
      </w:r>
      <w:bookmarkEnd w:id="105"/>
    </w:p>
    <w:p w:rsidR="00B52DE3" w:rsidRDefault="00B52DE3">
      <w:pPr>
        <w:pStyle w:val="2f6"/>
        <w:keepNext w:val="0"/>
        <w:spacing w:before="0" w:line="240" w:lineRule="auto"/>
        <w:ind w:left="0"/>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За отчетный период была оказана помощь гражданам, индивидуальным предпринимателям, крестьянским (фермерским) хозяйствам и юридическим лицам по вопросам оформления земельных участков из состава земель сельскохозяйственного назначения, а также в границах населенных пунктов в территориальных зонах сельскохозяйственного использования. Гражданам, крестьянским (фермерским) хозяйствам и сельскохозяйственным организациям с целью вовлечения земель в сельскохозяйственный оборот предоставлялись обзорные схемы земельных участков. Также принято и рассмотрено за отчетный период 148 обращений граждан, индивидуальных предпринимателей, крестьянских (фермерских) хозяйств и юридических лиц, а также организаций по вопросам оказания муниципальных услуг.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На текущий момент на территории Уссурийского городского округа вовлечено в оборот земельных участков из состава земель сельскохозяйственного назначения общей площадью 1670 га, из них:</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489,4 га – предоставлено в собственность;</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1079 га – заключены договоры аренды;</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101,5 га – заключены договоры безвозмездного пользования. </w:t>
      </w:r>
    </w:p>
    <w:p w:rsidR="00B52DE3" w:rsidRDefault="00B52DE3">
      <w:pPr>
        <w:widowControl w:val="0"/>
        <w:tabs>
          <w:tab w:val="left" w:pos="2865"/>
        </w:tabs>
        <w:spacing w:after="0" w:line="360" w:lineRule="auto"/>
        <w:rPr>
          <w:rFonts w:ascii="Times New Roman" w:hAnsi="Times New Roman" w:cs="Times New Roman"/>
          <w:b/>
          <w:bCs/>
          <w:sz w:val="28"/>
          <w:szCs w:val="28"/>
        </w:rPr>
      </w:pPr>
    </w:p>
    <w:p w:rsidR="00B52DE3" w:rsidRDefault="00DE73E3">
      <w:pPr>
        <w:pStyle w:val="2f6"/>
        <w:keepNext w:val="0"/>
        <w:spacing w:line="240" w:lineRule="auto"/>
        <w:ind w:left="0"/>
      </w:pPr>
      <w:bookmarkStart w:id="106" w:name="_Toc97"/>
      <w:r>
        <w:t>Включение новых мест и включение индивидуальных предпринимателей и юридических лиц в схему размещения нестационарных торговых объектов на территории Уссурийского городского округа</w:t>
      </w:r>
      <w:bookmarkEnd w:id="106"/>
    </w:p>
    <w:p w:rsidR="00B52DE3" w:rsidRDefault="00B52DE3">
      <w:pPr>
        <w:pStyle w:val="2f6"/>
        <w:keepNext w:val="0"/>
        <w:spacing w:line="240" w:lineRule="auto"/>
        <w:ind w:left="0"/>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В рамках проведения градостроительной политики проведены </w:t>
      </w:r>
      <w:r>
        <w:rPr>
          <w:rFonts w:ascii="Times New Roman" w:eastAsia="Times New Roman" w:hAnsi="Times New Roman" w:cs="Times New Roman"/>
          <w:color w:val="000000"/>
          <w:sz w:val="28"/>
          <w:szCs w:val="28"/>
        </w:rPr>
        <w:lastRenderedPageBreak/>
        <w:t>публичные слушания и общественные обсуждения: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12 публичных слушаний по вопросу предоставления разрешения на условно разрешенный вид использования земельных участков;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10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14 общественных обсуждений по документации по планировке территории;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5 общественных обсуждений по определению границ земельных участков под МКД;</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6 общественных обсуждений по вопросам внесения изменений в Правила землепользования и застройки Уссурийского городского округа.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Проведено 13 заседаний Комиссии по правилам землепользования и застройки Уссурийского городского округа.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В 2024 году утверждено документации по планировке территории площадью 455,79 га, в рамках данных работ образованы земельные участки для развития жилищного строительства, образованы земельные участки для ветхих, аварийных домов, образованы земельные участки для строительства и реконструкции социальных объектов, для развития улично-дорожной сети, инженерной инфраструктуры и благоустройства.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 том числе, за счет средств местного бюджета в рамках муниципальной программы «Развитие градостроительной деятельности и деятельности в области земельных отношений в Уссурийском городском округе» исполнены и оплачены контракты по подготовке документации по планировке территории площадью 36,0 га на сумму 832,92 тыс. рублей по следующим мероприятиям:</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Проведена работа по предоставлению разрешения на условно разрешенный вид использования земельных участков и разрешения на отклонение от предельных параметров разрешенного строительства, </w:t>
      </w:r>
      <w:r>
        <w:rPr>
          <w:rFonts w:ascii="Times New Roman" w:eastAsia="Times New Roman" w:hAnsi="Times New Roman" w:cs="Times New Roman"/>
          <w:color w:val="000000"/>
          <w:sz w:val="28"/>
          <w:szCs w:val="28"/>
        </w:rPr>
        <w:lastRenderedPageBreak/>
        <w:t>реконструкции объектов капитального строительства: 25 земельных участков.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Проведено согласование проектов планировки и проектов межевания территории на соответствие пространственным данным, согласно Приказа Министерства архитектуры и градостроительной политики Приморского края от 02 февраля 2024 года № 14-пр «Об утверждении технических требований к отраслевым пространственным данным Приморского края» в количестве 26 проектов.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В Управление </w:t>
      </w:r>
      <w:proofErr w:type="spellStart"/>
      <w:r>
        <w:rPr>
          <w:rFonts w:ascii="Times New Roman" w:eastAsia="Times New Roman" w:hAnsi="Times New Roman" w:cs="Times New Roman"/>
          <w:color w:val="000000"/>
          <w:sz w:val="28"/>
          <w:szCs w:val="28"/>
        </w:rPr>
        <w:t>Росреестра</w:t>
      </w:r>
      <w:proofErr w:type="spellEnd"/>
      <w:r>
        <w:rPr>
          <w:rFonts w:ascii="Times New Roman" w:eastAsia="Times New Roman" w:hAnsi="Times New Roman" w:cs="Times New Roman"/>
          <w:color w:val="000000"/>
          <w:sz w:val="28"/>
          <w:szCs w:val="28"/>
        </w:rPr>
        <w:t xml:space="preserve"> по Приморскому краю в рамках информационного взаимодействия по результатам принятых администрацией Уссурийского городского округа постановлений в отношений вопросов градостроительной политики направляются сведения о внесенных изменениях в действующие на территории Уссурийского городского округа Правила землепользования и застройки с границами территориальных зон, об утвержденных проектах межевания территории, о предоставлении разрешения на условно разрешенный вид использования земельных участков.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 рамках реализации мероприятий муниципальной программы «Развитие градостроительной деятельности и деятельности в области земельных отношений в Уссурийском городском округе» на 2023-2027 годы, на 2024 год, бюджетом Уссурийского городского округа с учетом внесенных изменений на реализацию программы в 2024 году предусмотрено финансирование в размере 5370,79 тыс. рублей на заключение 11 контрактов (договоров) и на проведение судебных экспертиз по определению Арбитражного суда, а именно:</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разработка проектов планировки и проектов межевания (36 га);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внесение денежных сумм, подлежащих выплате свидетелям, экспертам и специалистам (9 распоряжений);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вынос в натуру границ  земельных участков (99 земельных участков);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подготовка схемы расположения земельного участка на кадастровом плане территории (83 схемы);</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межевание и постановка на кадастровый учет земельных участков </w:t>
      </w:r>
      <w:r>
        <w:rPr>
          <w:rFonts w:ascii="Times New Roman" w:eastAsia="Times New Roman" w:hAnsi="Times New Roman" w:cs="Times New Roman"/>
          <w:sz w:val="28"/>
          <w:szCs w:val="28"/>
        </w:rPr>
        <w:br/>
        <w:t>(283 земельных участков);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определение координат (41 объекта);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оценка рыночной стоимости земельных участков (100 земельных участков);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демонтаж, хранению и уничтожению рекламных конструкций </w:t>
      </w:r>
      <w:r>
        <w:rPr>
          <w:rFonts w:ascii="Times New Roman" w:eastAsia="Times New Roman" w:hAnsi="Times New Roman" w:cs="Times New Roman"/>
          <w:sz w:val="28"/>
          <w:szCs w:val="28"/>
        </w:rPr>
        <w:br/>
        <w:t>(10 конструкций);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освобождение самовольно занятых земельных участков </w:t>
      </w:r>
      <w:r>
        <w:rPr>
          <w:rFonts w:ascii="Times New Roman" w:eastAsia="Times New Roman" w:hAnsi="Times New Roman" w:cs="Times New Roman"/>
          <w:sz w:val="28"/>
          <w:szCs w:val="28"/>
        </w:rPr>
        <w:br/>
        <w:t>(36 земельных участков);</w:t>
      </w:r>
    </w:p>
    <w:p w:rsidR="00B52DE3" w:rsidRDefault="00DE73E3">
      <w:pPr>
        <w:widowControl w:val="0"/>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направление квитанций по исполнению договорных</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обязательств по аренде земельных участков (19200 шт.).</w:t>
      </w:r>
    </w:p>
    <w:p w:rsidR="00B52DE3" w:rsidRDefault="00B52DE3">
      <w:pPr>
        <w:widowControl w:val="0"/>
        <w:shd w:val="clear" w:color="auto" w:fill="FFFFFF"/>
        <w:spacing w:after="0" w:line="360" w:lineRule="auto"/>
        <w:jc w:val="both"/>
        <w:rPr>
          <w:rFonts w:ascii="Times New Roman" w:hAnsi="Times New Roman" w:cs="Times New Roman"/>
          <w:sz w:val="28"/>
          <w:szCs w:val="28"/>
        </w:rPr>
      </w:pPr>
    </w:p>
    <w:p w:rsidR="00B52DE3" w:rsidRDefault="00DE73E3">
      <w:pPr>
        <w:pStyle w:val="1fe"/>
        <w:keepNext w:val="0"/>
        <w:keepLines w:val="0"/>
        <w:spacing w:before="0" w:line="240" w:lineRule="auto"/>
      </w:pPr>
      <w:bookmarkStart w:id="107" w:name="_Toc98"/>
      <w:r>
        <w:rPr>
          <w:rFonts w:eastAsia="Times New Roman"/>
          <w:lang w:eastAsia="ru-RU"/>
        </w:rPr>
        <w:t>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ЗАКОНОМ «О РЕКЛАМЕ»</w:t>
      </w:r>
      <w:bookmarkEnd w:id="107"/>
    </w:p>
    <w:p w:rsidR="00B52DE3" w:rsidRDefault="00B52DE3">
      <w:pPr>
        <w:pStyle w:val="afff0"/>
        <w:widowControl w:val="0"/>
        <w:spacing w:before="0" w:after="0" w:line="288" w:lineRule="atLeast"/>
        <w:ind w:firstLine="540"/>
        <w:jc w:val="both"/>
        <w:rPr>
          <w:b/>
          <w:sz w:val="28"/>
          <w:szCs w:val="28"/>
        </w:rPr>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С целью обеспечения </w:t>
      </w:r>
      <w:proofErr w:type="spellStart"/>
      <w:r>
        <w:rPr>
          <w:rFonts w:ascii="Times New Roman" w:eastAsia="Times New Roman" w:hAnsi="Times New Roman" w:cs="Times New Roman"/>
          <w:sz w:val="28"/>
          <w:szCs w:val="28"/>
        </w:rPr>
        <w:t>медийным</w:t>
      </w:r>
      <w:proofErr w:type="spellEnd"/>
      <w:r>
        <w:rPr>
          <w:rFonts w:ascii="Times New Roman" w:eastAsia="Times New Roman" w:hAnsi="Times New Roman" w:cs="Times New Roman"/>
          <w:sz w:val="28"/>
          <w:szCs w:val="28"/>
        </w:rPr>
        <w:t xml:space="preserve"> пространством (наружная реклама) хозяйствующих субъектов для информации о товарах и услугах, оказываемых населению округа, включая и социально направленные проекты, в соответствии со статьей 19 Федерального Закона № 38-ФЗ </w:t>
      </w:r>
      <w:r>
        <w:rPr>
          <w:rFonts w:ascii="Times New Roman" w:eastAsia="Times New Roman" w:hAnsi="Times New Roman" w:cs="Times New Roman"/>
          <w:sz w:val="28"/>
          <w:szCs w:val="28"/>
        </w:rPr>
        <w:br/>
        <w:t xml:space="preserve">от 13 марта 2006 года «О рекламе» осуществлен ряд мероприятий: </w:t>
      </w:r>
    </w:p>
    <w:p w:rsidR="00B52DE3" w:rsidRDefault="00B52DE3">
      <w:pPr>
        <w:spacing w:after="0" w:line="360" w:lineRule="auto"/>
        <w:rPr>
          <w:rFonts w:ascii="Times New Roman" w:hAnsi="Times New Roman" w:cs="Times New Roman"/>
          <w:sz w:val="28"/>
          <w:szCs w:val="28"/>
        </w:rPr>
      </w:pPr>
    </w:p>
    <w:tbl>
      <w:tblPr>
        <w:tblW w:w="9571" w:type="dxa"/>
        <w:tblInd w:w="-109" w:type="dxa"/>
        <w:tblLayout w:type="fixed"/>
        <w:tblLook w:val="04A0"/>
      </w:tblPr>
      <w:tblGrid>
        <w:gridCol w:w="817"/>
        <w:gridCol w:w="6521"/>
        <w:gridCol w:w="2233"/>
      </w:tblGrid>
      <w:tr w:rsidR="00B52DE3">
        <w:tc>
          <w:tcPr>
            <w:tcW w:w="817" w:type="dxa"/>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w:t>
            </w:r>
          </w:p>
        </w:tc>
        <w:tc>
          <w:tcPr>
            <w:tcW w:w="6521" w:type="dxa"/>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Наименование</w:t>
            </w:r>
          </w:p>
        </w:tc>
        <w:tc>
          <w:tcPr>
            <w:tcW w:w="2233" w:type="dxa"/>
            <w:vAlign w:val="center"/>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2025 год</w:t>
            </w:r>
          </w:p>
        </w:tc>
      </w:tr>
      <w:tr w:rsidR="00B52DE3">
        <w:trPr>
          <w:trHeight w:val="293"/>
        </w:trPr>
        <w:tc>
          <w:tcPr>
            <w:tcW w:w="817" w:type="dxa"/>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lastRenderedPageBreak/>
              <w:t>1</w:t>
            </w:r>
          </w:p>
        </w:tc>
        <w:tc>
          <w:tcPr>
            <w:tcW w:w="6521" w:type="dxa"/>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2</w:t>
            </w:r>
          </w:p>
        </w:tc>
        <w:tc>
          <w:tcPr>
            <w:tcW w:w="2233" w:type="dxa"/>
            <w:vAlign w:val="center"/>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3</w:t>
            </w:r>
          </w:p>
        </w:tc>
      </w:tr>
      <w:tr w:rsidR="00B52DE3">
        <w:tc>
          <w:tcPr>
            <w:tcW w:w="817" w:type="dxa"/>
          </w:tcPr>
          <w:p w:rsidR="00B52DE3" w:rsidRDefault="00DE73E3">
            <w:pPr>
              <w:spacing w:after="0" w:line="360" w:lineRule="auto"/>
              <w:jc w:val="both"/>
              <w:rPr>
                <w:rFonts w:ascii="Times New Roman" w:hAnsi="Times New Roman" w:cs="Times New Roman"/>
              </w:rPr>
            </w:pPr>
            <w:r>
              <w:rPr>
                <w:rFonts w:ascii="Times New Roman" w:eastAsia="Times New Roman" w:hAnsi="Times New Roman" w:cs="Times New Roman"/>
                <w:sz w:val="28"/>
                <w:szCs w:val="28"/>
              </w:rPr>
              <w:t>1.</w:t>
            </w:r>
          </w:p>
        </w:tc>
        <w:tc>
          <w:tcPr>
            <w:tcW w:w="6521" w:type="dxa"/>
          </w:tcPr>
          <w:p w:rsidR="00B52DE3" w:rsidRDefault="00DE73E3">
            <w:pPr>
              <w:spacing w:after="0" w:line="240" w:lineRule="auto"/>
              <w:contextualSpacing/>
              <w:jc w:val="both"/>
              <w:rPr>
                <w:rFonts w:ascii="Times New Roman" w:hAnsi="Times New Roman" w:cs="Times New Roman"/>
              </w:rPr>
            </w:pPr>
            <w:r>
              <w:rPr>
                <w:rFonts w:ascii="Times New Roman" w:eastAsia="Times New Roman" w:hAnsi="Times New Roman" w:cs="Times New Roman"/>
                <w:sz w:val="28"/>
                <w:szCs w:val="28"/>
              </w:rPr>
              <w:t>Выдано разрешений на установку и эксплуатацию рекламных конструкций</w:t>
            </w:r>
          </w:p>
        </w:tc>
        <w:tc>
          <w:tcPr>
            <w:tcW w:w="2233" w:type="dxa"/>
            <w:vAlign w:val="center"/>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85</w:t>
            </w:r>
          </w:p>
        </w:tc>
      </w:tr>
      <w:tr w:rsidR="00B52DE3">
        <w:tc>
          <w:tcPr>
            <w:tcW w:w="817" w:type="dxa"/>
          </w:tcPr>
          <w:p w:rsidR="00B52DE3" w:rsidRDefault="00DE73E3">
            <w:pPr>
              <w:spacing w:after="0" w:line="360" w:lineRule="auto"/>
              <w:jc w:val="both"/>
              <w:rPr>
                <w:rFonts w:ascii="Times New Roman" w:hAnsi="Times New Roman" w:cs="Times New Roman"/>
              </w:rPr>
            </w:pPr>
            <w:r>
              <w:rPr>
                <w:rFonts w:ascii="Times New Roman" w:eastAsia="Times New Roman" w:hAnsi="Times New Roman" w:cs="Times New Roman"/>
                <w:sz w:val="28"/>
                <w:szCs w:val="28"/>
              </w:rPr>
              <w:t>2.</w:t>
            </w:r>
          </w:p>
        </w:tc>
        <w:tc>
          <w:tcPr>
            <w:tcW w:w="6521" w:type="dxa"/>
          </w:tcPr>
          <w:p w:rsidR="00B52DE3" w:rsidRDefault="00DE73E3">
            <w:pPr>
              <w:spacing w:after="0" w:line="240" w:lineRule="auto"/>
              <w:contextualSpacing/>
              <w:jc w:val="both"/>
              <w:rPr>
                <w:rFonts w:ascii="Times New Roman" w:hAnsi="Times New Roman" w:cs="Times New Roman"/>
              </w:rPr>
            </w:pPr>
            <w:r>
              <w:rPr>
                <w:rFonts w:ascii="Times New Roman" w:eastAsia="Times New Roman" w:hAnsi="Times New Roman" w:cs="Times New Roman"/>
                <w:sz w:val="28"/>
                <w:szCs w:val="28"/>
                <w:lang w:eastAsia="ru-RU"/>
              </w:rPr>
              <w:t>Предоставлено рекламных поверхностей в целях информирования населения о социально значимых проектах, реализуемых на территории Уссурийского городского округа</w:t>
            </w:r>
          </w:p>
        </w:tc>
        <w:tc>
          <w:tcPr>
            <w:tcW w:w="2233" w:type="dxa"/>
            <w:vAlign w:val="center"/>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103</w:t>
            </w:r>
          </w:p>
        </w:tc>
      </w:tr>
      <w:tr w:rsidR="00B52DE3">
        <w:tc>
          <w:tcPr>
            <w:tcW w:w="817" w:type="dxa"/>
          </w:tcPr>
          <w:p w:rsidR="00B52DE3" w:rsidRDefault="00DE73E3">
            <w:pPr>
              <w:spacing w:after="0" w:line="360" w:lineRule="auto"/>
              <w:jc w:val="both"/>
              <w:rPr>
                <w:rFonts w:ascii="Times New Roman" w:hAnsi="Times New Roman" w:cs="Times New Roman"/>
              </w:rPr>
            </w:pPr>
            <w:r>
              <w:rPr>
                <w:rFonts w:ascii="Times New Roman" w:eastAsia="Times New Roman" w:hAnsi="Times New Roman" w:cs="Times New Roman"/>
                <w:sz w:val="28"/>
                <w:szCs w:val="28"/>
              </w:rPr>
              <w:t>3.</w:t>
            </w:r>
          </w:p>
        </w:tc>
        <w:tc>
          <w:tcPr>
            <w:tcW w:w="6521" w:type="dxa"/>
          </w:tcPr>
          <w:p w:rsidR="00B52DE3" w:rsidRDefault="00DE73E3">
            <w:pPr>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Составлены и направлены владельцам рекламных конструкций предписания на демонтаж рекламных конструкций, установленных без разрешения</w:t>
            </w:r>
          </w:p>
        </w:tc>
        <w:tc>
          <w:tcPr>
            <w:tcW w:w="2233" w:type="dxa"/>
            <w:vAlign w:val="center"/>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43</w:t>
            </w:r>
          </w:p>
        </w:tc>
      </w:tr>
    </w:tbl>
    <w:p w:rsidR="00B52DE3" w:rsidRDefault="00B52DE3">
      <w:pPr>
        <w:spacing w:after="0" w:line="360" w:lineRule="auto"/>
        <w:ind w:firstLine="709"/>
        <w:jc w:val="both"/>
        <w:rPr>
          <w:rFonts w:ascii="Times New Roman" w:hAnsi="Times New Roman" w:cs="Times New Roman"/>
          <w:sz w:val="28"/>
          <w:szCs w:val="28"/>
        </w:rPr>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 бюджет Уссурийского городского округа поступили средства по оплате госпошлины за выдачу разрешения на установку и эксплуатацию рекламных конструкций,  на сумму 12 057 419,43</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000000" w:themeColor="dark1"/>
          <w:sz w:val="28"/>
          <w:szCs w:val="28"/>
        </w:rPr>
        <w:t>рублей.</w:t>
      </w:r>
    </w:p>
    <w:p w:rsidR="00B52DE3" w:rsidRDefault="00B52DE3">
      <w:pPr>
        <w:widowControl w:val="0"/>
        <w:spacing w:after="0" w:line="360" w:lineRule="auto"/>
        <w:ind w:firstLine="709"/>
        <w:jc w:val="center"/>
        <w:rPr>
          <w:rFonts w:ascii="Times New Roman" w:hAnsi="Times New Roman" w:cs="Times New Roman"/>
          <w:b/>
          <w:sz w:val="28"/>
          <w:szCs w:val="28"/>
        </w:rPr>
      </w:pPr>
    </w:p>
    <w:p w:rsidR="00B52DE3" w:rsidRDefault="00DE73E3">
      <w:pPr>
        <w:pStyle w:val="1fe"/>
        <w:keepNext w:val="0"/>
        <w:keepLines w:val="0"/>
        <w:spacing w:before="0" w:line="240" w:lineRule="auto"/>
      </w:pPr>
      <w:bookmarkStart w:id="108" w:name="_Toc99"/>
      <w:r>
        <w:rPr>
          <w:rFonts w:eastAsia="Times New Roman"/>
          <w:lang w:eastAsia="ru-RU"/>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bookmarkEnd w:id="108"/>
    </w:p>
    <w:p w:rsidR="00B52DE3" w:rsidRDefault="00B52DE3">
      <w:pPr>
        <w:widowControl w:val="0"/>
        <w:spacing w:after="0" w:line="240" w:lineRule="auto"/>
        <w:ind w:firstLine="709"/>
        <w:jc w:val="center"/>
        <w:rPr>
          <w:rFonts w:ascii="Times New Roman" w:hAnsi="Times New Roman" w:cs="Times New Roman"/>
          <w:b/>
          <w:color w:val="000000"/>
          <w:sz w:val="28"/>
          <w:szCs w:val="28"/>
        </w:rPr>
      </w:pP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В рамках регулирования и точной идентификации объектов адресации, в том числе для своевременного получения социальных услуг, услуг экстренных служб (скорой помощи, полиции и т.п.), для осуществления контроля и проведения администрирования объектов недвижимости, осуществлены следующие мероприятия: </w:t>
      </w:r>
    </w:p>
    <w:tbl>
      <w:tblPr>
        <w:tblW w:w="9464" w:type="dxa"/>
        <w:tblInd w:w="-113" w:type="dxa"/>
        <w:tblLayout w:type="fixed"/>
        <w:tblLook w:val="04A0"/>
      </w:tblPr>
      <w:tblGrid>
        <w:gridCol w:w="812"/>
        <w:gridCol w:w="6809"/>
        <w:gridCol w:w="1843"/>
      </w:tblGrid>
      <w:tr w:rsidR="00B52DE3">
        <w:tc>
          <w:tcPr>
            <w:tcW w:w="812"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п</w:t>
            </w:r>
            <w:proofErr w:type="spellEnd"/>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п</w:t>
            </w:r>
            <w:proofErr w:type="spellEnd"/>
          </w:p>
        </w:tc>
        <w:tc>
          <w:tcPr>
            <w:tcW w:w="6809"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tabs>
                <w:tab w:val="left" w:pos="1077"/>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Мероприятия</w:t>
            </w:r>
          </w:p>
        </w:tc>
        <w:tc>
          <w:tcPr>
            <w:tcW w:w="1843"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2025 год</w:t>
            </w:r>
          </w:p>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(шт.)</w:t>
            </w:r>
          </w:p>
        </w:tc>
      </w:tr>
      <w:tr w:rsidR="00B52DE3">
        <w:tc>
          <w:tcPr>
            <w:tcW w:w="812"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1</w:t>
            </w:r>
          </w:p>
        </w:tc>
        <w:tc>
          <w:tcPr>
            <w:tcW w:w="6809"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w:t>
            </w:r>
          </w:p>
        </w:tc>
        <w:tc>
          <w:tcPr>
            <w:tcW w:w="1843"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3</w:t>
            </w:r>
          </w:p>
        </w:tc>
      </w:tr>
      <w:tr w:rsidR="00B52DE3">
        <w:tc>
          <w:tcPr>
            <w:tcW w:w="812"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1.</w:t>
            </w:r>
          </w:p>
        </w:tc>
        <w:tc>
          <w:tcPr>
            <w:tcW w:w="6809"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contextualSpacing/>
              <w:jc w:val="both"/>
              <w:rPr>
                <w:rFonts w:ascii="Times New Roman" w:hAnsi="Times New Roman" w:cs="Times New Roman"/>
              </w:rPr>
            </w:pPr>
            <w:r>
              <w:rPr>
                <w:rFonts w:ascii="Times New Roman" w:eastAsia="Times New Roman" w:hAnsi="Times New Roman" w:cs="Times New Roman"/>
                <w:sz w:val="28"/>
                <w:szCs w:val="28"/>
                <w:lang w:eastAsia="ru-RU"/>
              </w:rPr>
              <w:t>По присвоению адресов и внесение в ГАР сведений об адресах объектов недвижимости (по заявлениям)</w:t>
            </w:r>
          </w:p>
        </w:tc>
        <w:tc>
          <w:tcPr>
            <w:tcW w:w="1843" w:type="dxa"/>
            <w:tcBorders>
              <w:top w:val="single" w:sz="4" w:space="0" w:color="000000"/>
              <w:left w:val="single" w:sz="4" w:space="0" w:color="000000"/>
              <w:bottom w:val="single" w:sz="4" w:space="0" w:color="000000"/>
              <w:right w:val="single" w:sz="4" w:space="0" w:color="000000"/>
            </w:tcBorders>
            <w:vAlign w:val="center"/>
          </w:tcPr>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3839</w:t>
            </w:r>
          </w:p>
        </w:tc>
      </w:tr>
      <w:tr w:rsidR="00B52DE3">
        <w:tc>
          <w:tcPr>
            <w:tcW w:w="812"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w:t>
            </w:r>
          </w:p>
        </w:tc>
        <w:tc>
          <w:tcPr>
            <w:tcW w:w="6809"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contextualSpacing/>
              <w:jc w:val="both"/>
              <w:rPr>
                <w:rFonts w:ascii="Times New Roman" w:hAnsi="Times New Roman" w:cs="Times New Roman"/>
              </w:rPr>
            </w:pPr>
            <w:r>
              <w:rPr>
                <w:rFonts w:ascii="Times New Roman" w:eastAsia="Times New Roman" w:hAnsi="Times New Roman" w:cs="Times New Roman"/>
                <w:sz w:val="28"/>
                <w:szCs w:val="28"/>
                <w:lang w:eastAsia="ru-RU"/>
              </w:rPr>
              <w:t xml:space="preserve">По предоставлению решений в рамках </w:t>
            </w:r>
            <w:r>
              <w:rPr>
                <w:rFonts w:ascii="Times New Roman" w:eastAsia="Times New Roman" w:hAnsi="Times New Roman" w:cs="Times New Roman"/>
                <w:sz w:val="28"/>
                <w:szCs w:val="28"/>
                <w:lang w:eastAsia="ru-RU"/>
              </w:rPr>
              <w:lastRenderedPageBreak/>
              <w:t>предоставлении муниципальной услуги</w:t>
            </w:r>
          </w:p>
        </w:tc>
        <w:tc>
          <w:tcPr>
            <w:tcW w:w="1843" w:type="dxa"/>
            <w:tcBorders>
              <w:top w:val="single" w:sz="4" w:space="0" w:color="000000"/>
              <w:left w:val="single" w:sz="4" w:space="0" w:color="000000"/>
              <w:bottom w:val="single" w:sz="4" w:space="0" w:color="000000"/>
              <w:right w:val="single" w:sz="4" w:space="0" w:color="000000"/>
            </w:tcBorders>
            <w:vAlign w:val="center"/>
          </w:tcPr>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lastRenderedPageBreak/>
              <w:t>1302</w:t>
            </w:r>
          </w:p>
        </w:tc>
      </w:tr>
      <w:tr w:rsidR="00B52DE3">
        <w:tc>
          <w:tcPr>
            <w:tcW w:w="812"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lastRenderedPageBreak/>
              <w:t>3.</w:t>
            </w:r>
          </w:p>
        </w:tc>
        <w:tc>
          <w:tcPr>
            <w:tcW w:w="6809" w:type="dxa"/>
            <w:tcBorders>
              <w:top w:val="single" w:sz="4" w:space="0" w:color="000000"/>
              <w:left w:val="single" w:sz="4" w:space="0" w:color="000000"/>
              <w:bottom w:val="single" w:sz="4" w:space="0" w:color="000000"/>
              <w:right w:val="single" w:sz="4" w:space="0" w:color="000000"/>
            </w:tcBorders>
          </w:tcPr>
          <w:p w:rsidR="00B52DE3" w:rsidRDefault="00DE73E3">
            <w:pPr>
              <w:shd w:val="clear" w:color="auto" w:fill="FFFFFF"/>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По присвоению адресов и внесению в ГАР сведений об адресах по инициативе управления</w:t>
            </w:r>
          </w:p>
        </w:tc>
        <w:tc>
          <w:tcPr>
            <w:tcW w:w="1843" w:type="dxa"/>
            <w:tcBorders>
              <w:top w:val="single" w:sz="4" w:space="0" w:color="000000"/>
              <w:left w:val="single" w:sz="4" w:space="0" w:color="000000"/>
              <w:bottom w:val="single" w:sz="4" w:space="0" w:color="000000"/>
              <w:right w:val="single" w:sz="4" w:space="0" w:color="000000"/>
            </w:tcBorders>
            <w:vAlign w:val="center"/>
          </w:tcPr>
          <w:p w:rsidR="00B52DE3" w:rsidRDefault="00DE73E3">
            <w:pPr>
              <w:shd w:val="clear" w:color="auto" w:fill="FFFFFF"/>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63</w:t>
            </w:r>
          </w:p>
        </w:tc>
      </w:tr>
    </w:tbl>
    <w:p w:rsidR="00B52DE3" w:rsidRDefault="00B52DE3">
      <w:pPr>
        <w:shd w:val="clear" w:color="auto" w:fill="FFFFFF"/>
        <w:spacing w:after="0" w:line="360" w:lineRule="auto"/>
        <w:ind w:firstLine="709"/>
        <w:jc w:val="both"/>
        <w:rPr>
          <w:rFonts w:ascii="Times New Roman" w:hAnsi="Times New Roman" w:cs="Times New Roman"/>
          <w:sz w:val="28"/>
          <w:szCs w:val="28"/>
        </w:rPr>
      </w:pP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Во исполнение протокола совещания от 15 августа 2023 года </w:t>
      </w:r>
      <w:r>
        <w:rPr>
          <w:rFonts w:ascii="Times New Roman" w:eastAsia="Times New Roman" w:hAnsi="Times New Roman" w:cs="Times New Roman"/>
          <w:sz w:val="28"/>
          <w:szCs w:val="28"/>
          <w:lang w:eastAsia="ru-RU"/>
        </w:rPr>
        <w:br/>
        <w:t>№ 1146-ПРМ-КМ по вопросу цифровой трансформации отрасли строительства по внедрению и популяризации мобильного приложения «</w:t>
      </w:r>
      <w:proofErr w:type="spellStart"/>
      <w:r>
        <w:rPr>
          <w:rFonts w:ascii="Times New Roman" w:eastAsia="Times New Roman" w:hAnsi="Times New Roman" w:cs="Times New Roman"/>
          <w:sz w:val="28"/>
          <w:szCs w:val="28"/>
          <w:lang w:eastAsia="ru-RU"/>
        </w:rPr>
        <w:t>Госуслуги.Дом</w:t>
      </w:r>
      <w:proofErr w:type="spellEnd"/>
      <w:r>
        <w:rPr>
          <w:rFonts w:ascii="Times New Roman" w:eastAsia="Times New Roman" w:hAnsi="Times New Roman" w:cs="Times New Roman"/>
          <w:sz w:val="28"/>
          <w:szCs w:val="28"/>
          <w:lang w:eastAsia="ru-RU"/>
        </w:rPr>
        <w:t xml:space="preserve">», под председательством заместителя Министра строительства и жилищно-коммунального хозяйства Российской Федерации К.А. </w:t>
      </w:r>
      <w:proofErr w:type="spellStart"/>
      <w:r>
        <w:rPr>
          <w:rFonts w:ascii="Times New Roman" w:eastAsia="Times New Roman" w:hAnsi="Times New Roman" w:cs="Times New Roman"/>
          <w:sz w:val="28"/>
          <w:szCs w:val="28"/>
          <w:lang w:eastAsia="ru-RU"/>
        </w:rPr>
        <w:t>Михайлика</w:t>
      </w:r>
      <w:proofErr w:type="spellEnd"/>
      <w:r>
        <w:rPr>
          <w:rFonts w:ascii="Times New Roman" w:eastAsia="Times New Roman" w:hAnsi="Times New Roman" w:cs="Times New Roman"/>
          <w:sz w:val="28"/>
          <w:szCs w:val="28"/>
          <w:lang w:eastAsia="ru-RU"/>
        </w:rPr>
        <w:t xml:space="preserve">, на постоянной основе осуществляет размещение в государственном адресном реестре сведений о кадастровых номерах объектов недвижимости, являющихся объектами адресации. Так за 2025 год управлением градостроительства администрации Уссурийского городского округа Приморского края размещено в государственном адресном реестре сведения о 2300 кадастровых номерах объектов недвижимости, являющихся объектами адресации. </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В 2025 году были присвоены наименования вновь образованным 29 элементам улично-дорожной сети. </w:t>
      </w:r>
    </w:p>
    <w:p w:rsidR="00B52DE3" w:rsidRDefault="00B52DE3">
      <w:pPr>
        <w:pStyle w:val="1fe"/>
        <w:keepNext w:val="0"/>
        <w:keepLines w:val="0"/>
        <w:spacing w:before="0"/>
        <w:ind w:firstLine="0"/>
        <w:jc w:val="left"/>
      </w:pPr>
    </w:p>
    <w:p w:rsidR="00B52DE3" w:rsidRDefault="00DE73E3">
      <w:pPr>
        <w:pStyle w:val="1fe"/>
        <w:keepNext w:val="0"/>
        <w:keepLines w:val="0"/>
        <w:spacing w:before="0" w:line="240" w:lineRule="auto"/>
      </w:pPr>
      <w:bookmarkStart w:id="109" w:name="_Toc100"/>
      <w:r>
        <w:rPr>
          <w:rFonts w:eastAsia="Times New Roman"/>
          <w:lang w:eastAsia="ru-RU"/>
        </w:rPr>
        <w:t>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bookmarkEnd w:id="109"/>
    </w:p>
    <w:p w:rsidR="00B52DE3" w:rsidRDefault="00DE73E3">
      <w:pPr>
        <w:pStyle w:val="Heading2"/>
        <w:jc w:val="center"/>
        <w:rPr>
          <w:rFonts w:ascii="Times New Roman" w:hAnsi="Times New Roman"/>
          <w:i w:val="0"/>
          <w:iCs w:val="0"/>
        </w:rPr>
      </w:pPr>
      <w:bookmarkStart w:id="110" w:name="_Создание_у"/>
      <w:bookmarkStart w:id="111" w:name="_Toc101"/>
      <w:bookmarkEnd w:id="110"/>
      <w:r>
        <w:rPr>
          <w:rFonts w:ascii="Times New Roman" w:hAnsi="Times New Roman"/>
          <w:i w:val="0"/>
          <w:iCs w:val="0"/>
        </w:rPr>
        <w:t>Создание условий для развития сельскохозяйственного производства</w:t>
      </w:r>
      <w:bookmarkEnd w:id="111"/>
    </w:p>
    <w:p w:rsidR="00B52DE3" w:rsidRDefault="00B52DE3">
      <w:pPr>
        <w:pStyle w:val="210"/>
        <w:shd w:val="clear" w:color="auto" w:fill="auto"/>
        <w:tabs>
          <w:tab w:val="left" w:pos="2103"/>
        </w:tabs>
        <w:spacing w:before="0" w:after="0" w:line="360" w:lineRule="auto"/>
        <w:ind w:firstLine="0"/>
        <w:jc w:val="center"/>
        <w:outlineLvl w:val="9"/>
        <w:rPr>
          <w:sz w:val="28"/>
          <w:szCs w:val="28"/>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Управлением по работе с территориями проводилась работа с сельскохозяйственными товаропроизводителями Уссурийского городского округа приморского края всех форм собственности: крестьянскими </w:t>
      </w:r>
      <w:r>
        <w:rPr>
          <w:rFonts w:ascii="Times New Roman" w:eastAsia="Times New Roman" w:hAnsi="Times New Roman" w:cs="Times New Roman"/>
          <w:sz w:val="28"/>
          <w:szCs w:val="28"/>
        </w:rPr>
        <w:lastRenderedPageBreak/>
        <w:t>(фермерскими) хозяйствами, индивидуальными предпринимателями, личными подсобными хозяйствами по вопросу участия в государственных программах поддержки сельского хозяйства.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Статистическом регистре хозяйствующих субъектов с основным видом экономической деятельности «Растениеводство и животноводство, охота и предоставление соответствующих услуг в этих областях»                        на 01 января 2026 года учтено: предприятий и организаций - 162 единицы, индивидуальных предпринимателей - 153 человека.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Развитие сельского хозяйства Уссурийского городского округа, осуществляется в рамках  Государственной программы Приморского края «Развитие сельского хозяйства и регулирование рынков сельскохозяйственной продукции, сырья и продовольствия» на 2020-2027 годы от 27 декабря 2019 года № 933-па (далее - Программа Приморского края).</w:t>
      </w: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2025 году сельскохозяйственными предприятиями всех форм собственности, крестьянскими (фермерскими) хозяйствами и индивидуальными предпринимателями Уссурийского городского округа Приморского края заключено 38 соглашений с Министерством сельского хозяйства Приморского края о комплексном участии в Программе.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 сравнению с 2024 годом количество заключенных соглашений сократилось на 6 единиц, что составляет 86,3% к уровню предыдущего года. Наибольшее количество соглашений традиционно приходится на отрасль растениеводства - 26 единиц (87% к уровню 2024 года). Несмотря на снижение показателя, направление сохраняет доминирующее значение в общем объеме. В животноводстве зафиксировано 8 соглашений, что составляет 80% от показателя прошлого года, что указывает на снижение интереса хозяйств к данному направлению. В пищевой промышленности показатели сохранились на уровне 2024 года (4 соглашения, 100%), что свидетельствует о стабильности предприятий перерабатывающего сектора.</w:t>
      </w:r>
    </w:p>
    <w:p w:rsidR="00B52DE3" w:rsidRDefault="00DE73E3">
      <w:pPr>
        <w:spacing w:after="0" w:line="360" w:lineRule="auto"/>
        <w:ind w:firstLine="709"/>
        <w:jc w:val="right"/>
        <w:rPr>
          <w:rFonts w:ascii="Times New Roman" w:hAnsi="Times New Roman" w:cs="Times New Roman"/>
        </w:rPr>
      </w:pPr>
      <w:r>
        <w:rPr>
          <w:rFonts w:ascii="Times New Roman" w:eastAsia="Times New Roman" w:hAnsi="Times New Roman" w:cs="Times New Roman"/>
          <w:sz w:val="28"/>
          <w:szCs w:val="28"/>
        </w:rPr>
        <w:lastRenderedPageBreak/>
        <w:t>Соглашения, заключенные в 2025 году</w:t>
      </w:r>
    </w:p>
    <w:tbl>
      <w:tblPr>
        <w:tblW w:w="9371" w:type="dxa"/>
        <w:tblInd w:w="-20" w:type="dxa"/>
        <w:tblLayout w:type="fixed"/>
        <w:tblLook w:val="04A0"/>
      </w:tblPr>
      <w:tblGrid>
        <w:gridCol w:w="2712"/>
        <w:gridCol w:w="2126"/>
        <w:gridCol w:w="1839"/>
        <w:gridCol w:w="2694"/>
      </w:tblGrid>
      <w:tr w:rsidR="00B52DE3">
        <w:trPr>
          <w:trHeight w:val="256"/>
        </w:trPr>
        <w:tc>
          <w:tcPr>
            <w:tcW w:w="271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B52DE3" w:rsidRDefault="00DE73E3">
            <w:pPr>
              <w:pStyle w:val="afff3"/>
              <w:widowControl w:val="0"/>
              <w:jc w:val="center"/>
              <w:rPr>
                <w:rFonts w:ascii="Times New Roman" w:hAnsi="Times New Roman" w:cs="Times New Roman"/>
              </w:rPr>
            </w:pPr>
            <w:r>
              <w:rPr>
                <w:rFonts w:ascii="Times New Roman" w:eastAsia="Times New Roman" w:hAnsi="Times New Roman" w:cs="Times New Roman"/>
                <w:sz w:val="28"/>
                <w:szCs w:val="28"/>
              </w:rPr>
              <w:t>Отрасль</w:t>
            </w:r>
          </w:p>
        </w:tc>
        <w:tc>
          <w:tcPr>
            <w:tcW w:w="2126" w:type="dxa"/>
            <w:tcBorders>
              <w:top w:val="single" w:sz="4" w:space="0" w:color="000000"/>
              <w:bottom w:val="single" w:sz="4" w:space="0" w:color="000000"/>
              <w:right w:val="single" w:sz="4" w:space="0" w:color="000000"/>
            </w:tcBorders>
            <w:shd w:val="clear" w:color="auto" w:fill="FFFFFF"/>
            <w:vAlign w:val="bottom"/>
          </w:tcPr>
          <w:p w:rsidR="00B52DE3" w:rsidRDefault="00DE73E3">
            <w:pPr>
              <w:pStyle w:val="afff3"/>
              <w:widowControl w:val="0"/>
              <w:jc w:val="center"/>
              <w:rPr>
                <w:rFonts w:ascii="Times New Roman" w:hAnsi="Times New Roman" w:cs="Times New Roman"/>
              </w:rPr>
            </w:pPr>
            <w:r>
              <w:rPr>
                <w:rFonts w:ascii="Times New Roman" w:eastAsia="Times New Roman" w:hAnsi="Times New Roman" w:cs="Times New Roman"/>
                <w:sz w:val="28"/>
                <w:szCs w:val="28"/>
              </w:rPr>
              <w:t>2025 год</w:t>
            </w:r>
          </w:p>
        </w:tc>
        <w:tc>
          <w:tcPr>
            <w:tcW w:w="1839" w:type="dxa"/>
            <w:tcBorders>
              <w:top w:val="single" w:sz="4" w:space="0" w:color="000000"/>
              <w:left w:val="single" w:sz="4" w:space="0" w:color="000000"/>
              <w:bottom w:val="single" w:sz="4" w:space="0" w:color="000000"/>
              <w:right w:val="single" w:sz="4" w:space="0" w:color="000000"/>
            </w:tcBorders>
            <w:vAlign w:val="bottom"/>
          </w:tcPr>
          <w:p w:rsidR="00B52DE3" w:rsidRDefault="00DE73E3">
            <w:pPr>
              <w:pStyle w:val="afff3"/>
              <w:widowControl w:val="0"/>
              <w:jc w:val="center"/>
              <w:rPr>
                <w:rFonts w:ascii="Times New Roman" w:hAnsi="Times New Roman" w:cs="Times New Roman"/>
              </w:rPr>
            </w:pPr>
            <w:r>
              <w:rPr>
                <w:rFonts w:ascii="Times New Roman" w:eastAsia="Times New Roman" w:hAnsi="Times New Roman" w:cs="Times New Roman"/>
                <w:sz w:val="28"/>
                <w:szCs w:val="28"/>
              </w:rPr>
              <w:t>2024 год</w:t>
            </w:r>
          </w:p>
        </w:tc>
        <w:tc>
          <w:tcPr>
            <w:tcW w:w="2694" w:type="dxa"/>
            <w:tcBorders>
              <w:top w:val="single" w:sz="4" w:space="0" w:color="000000"/>
              <w:left w:val="single" w:sz="4" w:space="0" w:color="000000"/>
              <w:bottom w:val="single" w:sz="4" w:space="0" w:color="000000"/>
              <w:right w:val="single" w:sz="4" w:space="0" w:color="000000"/>
            </w:tcBorders>
            <w:vAlign w:val="bottom"/>
          </w:tcPr>
          <w:p w:rsidR="00B52DE3" w:rsidRDefault="00DE73E3">
            <w:pPr>
              <w:pStyle w:val="afff3"/>
              <w:widowControl w:val="0"/>
              <w:jc w:val="center"/>
              <w:rPr>
                <w:rFonts w:ascii="Times New Roman" w:hAnsi="Times New Roman" w:cs="Times New Roman"/>
              </w:rPr>
            </w:pPr>
            <w:r>
              <w:rPr>
                <w:rFonts w:ascii="Times New Roman" w:eastAsia="Times New Roman" w:hAnsi="Times New Roman" w:cs="Times New Roman"/>
                <w:sz w:val="28"/>
                <w:szCs w:val="28"/>
              </w:rPr>
              <w:t>Соотношение</w:t>
            </w:r>
          </w:p>
          <w:p w:rsidR="00B52DE3" w:rsidRDefault="00DE73E3">
            <w:pPr>
              <w:pStyle w:val="afff3"/>
              <w:widowControl w:val="0"/>
              <w:jc w:val="center"/>
              <w:rPr>
                <w:rFonts w:ascii="Times New Roman" w:hAnsi="Times New Roman" w:cs="Times New Roman"/>
              </w:rPr>
            </w:pPr>
            <w:r>
              <w:rPr>
                <w:rFonts w:ascii="Times New Roman" w:eastAsia="Times New Roman" w:hAnsi="Times New Roman" w:cs="Times New Roman"/>
                <w:sz w:val="28"/>
                <w:szCs w:val="28"/>
              </w:rPr>
              <w:t>2025 г. к 2024 г. в %</w:t>
            </w:r>
          </w:p>
        </w:tc>
      </w:tr>
      <w:tr w:rsidR="00B52DE3">
        <w:trPr>
          <w:trHeight w:val="465"/>
        </w:trPr>
        <w:tc>
          <w:tcPr>
            <w:tcW w:w="271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Растениеводство</w:t>
            </w:r>
          </w:p>
        </w:tc>
        <w:tc>
          <w:tcPr>
            <w:tcW w:w="2126" w:type="dxa"/>
            <w:tcBorders>
              <w:top w:val="single" w:sz="4" w:space="0" w:color="000000"/>
              <w:bottom w:val="single" w:sz="4" w:space="0" w:color="000000"/>
              <w:right w:val="single" w:sz="4" w:space="0" w:color="000000"/>
            </w:tcBorders>
            <w:shd w:val="clear" w:color="auto" w:fill="FFFFFF"/>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26</w:t>
            </w:r>
          </w:p>
        </w:tc>
        <w:tc>
          <w:tcPr>
            <w:tcW w:w="1839" w:type="dxa"/>
            <w:tcBorders>
              <w:top w:val="single" w:sz="4" w:space="0" w:color="000000"/>
              <w:left w:val="single" w:sz="4" w:space="0" w:color="000000"/>
              <w:bottom w:val="single" w:sz="4" w:space="0" w:color="000000"/>
              <w:right w:val="single" w:sz="4" w:space="0" w:color="000000"/>
            </w:tcBorders>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30</w:t>
            </w:r>
          </w:p>
        </w:tc>
        <w:tc>
          <w:tcPr>
            <w:tcW w:w="2694" w:type="dxa"/>
            <w:tcBorders>
              <w:top w:val="single" w:sz="4" w:space="0" w:color="000000"/>
              <w:left w:val="single" w:sz="4" w:space="0" w:color="000000"/>
              <w:bottom w:val="single" w:sz="4" w:space="0" w:color="000000"/>
              <w:right w:val="single" w:sz="4" w:space="0" w:color="000000"/>
            </w:tcBorders>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87 %</w:t>
            </w:r>
          </w:p>
        </w:tc>
      </w:tr>
      <w:tr w:rsidR="00B52DE3">
        <w:trPr>
          <w:trHeight w:val="405"/>
        </w:trPr>
        <w:tc>
          <w:tcPr>
            <w:tcW w:w="2711" w:type="dxa"/>
            <w:tcBorders>
              <w:left w:val="single" w:sz="4" w:space="0" w:color="000000"/>
              <w:bottom w:val="single" w:sz="4" w:space="0" w:color="000000"/>
              <w:right w:val="single" w:sz="4" w:space="0" w:color="000000"/>
            </w:tcBorders>
            <w:shd w:val="clear" w:color="auto" w:fill="FFFFFF"/>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Животноводство</w:t>
            </w:r>
          </w:p>
        </w:tc>
        <w:tc>
          <w:tcPr>
            <w:tcW w:w="2126" w:type="dxa"/>
            <w:tcBorders>
              <w:bottom w:val="single" w:sz="4" w:space="0" w:color="000000"/>
              <w:right w:val="single" w:sz="4" w:space="0" w:color="000000"/>
            </w:tcBorders>
            <w:shd w:val="clear" w:color="auto" w:fill="FFFFFF"/>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8</w:t>
            </w:r>
          </w:p>
        </w:tc>
        <w:tc>
          <w:tcPr>
            <w:tcW w:w="1839" w:type="dxa"/>
            <w:tcBorders>
              <w:top w:val="single" w:sz="4" w:space="0" w:color="000000"/>
              <w:left w:val="single" w:sz="4" w:space="0" w:color="000000"/>
              <w:bottom w:val="single" w:sz="4" w:space="0" w:color="000000"/>
              <w:right w:val="single" w:sz="4" w:space="0" w:color="000000"/>
            </w:tcBorders>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10</w:t>
            </w:r>
          </w:p>
        </w:tc>
        <w:tc>
          <w:tcPr>
            <w:tcW w:w="2694" w:type="dxa"/>
            <w:tcBorders>
              <w:top w:val="single" w:sz="4" w:space="0" w:color="000000"/>
              <w:left w:val="single" w:sz="4" w:space="0" w:color="000000"/>
              <w:bottom w:val="single" w:sz="4" w:space="0" w:color="000000"/>
              <w:right w:val="single" w:sz="4" w:space="0" w:color="000000"/>
            </w:tcBorders>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80 %</w:t>
            </w:r>
          </w:p>
        </w:tc>
      </w:tr>
      <w:tr w:rsidR="00B52DE3">
        <w:trPr>
          <w:trHeight w:val="314"/>
        </w:trPr>
        <w:tc>
          <w:tcPr>
            <w:tcW w:w="2711" w:type="dxa"/>
            <w:tcBorders>
              <w:left w:val="single" w:sz="4" w:space="0" w:color="000000"/>
              <w:bottom w:val="single" w:sz="4" w:space="0" w:color="000000"/>
              <w:right w:val="single" w:sz="4" w:space="0" w:color="000000"/>
            </w:tcBorders>
            <w:shd w:val="clear" w:color="auto" w:fill="FFFFFF"/>
            <w:vAlign w:val="bottom"/>
          </w:tcPr>
          <w:p w:rsidR="00B52DE3" w:rsidRDefault="00DE73E3">
            <w:pPr>
              <w:pStyle w:val="afff3"/>
              <w:widowControl w:val="0"/>
              <w:spacing w:before="0" w:after="0" w:line="240" w:lineRule="auto"/>
              <w:jc w:val="center"/>
              <w:rPr>
                <w:rFonts w:ascii="Times New Roman" w:hAnsi="Times New Roman" w:cs="Times New Roman"/>
              </w:rPr>
            </w:pPr>
            <w:r>
              <w:rPr>
                <w:rFonts w:ascii="Times New Roman" w:eastAsia="Times New Roman" w:hAnsi="Times New Roman" w:cs="Times New Roman"/>
                <w:sz w:val="28"/>
                <w:szCs w:val="28"/>
              </w:rPr>
              <w:t>Пищевая промышленность</w:t>
            </w:r>
          </w:p>
        </w:tc>
        <w:tc>
          <w:tcPr>
            <w:tcW w:w="2126" w:type="dxa"/>
            <w:tcBorders>
              <w:bottom w:val="single" w:sz="4" w:space="0" w:color="000000"/>
              <w:right w:val="single" w:sz="4" w:space="0" w:color="000000"/>
            </w:tcBorders>
            <w:shd w:val="clear" w:color="auto" w:fill="FFFFFF"/>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4</w:t>
            </w:r>
          </w:p>
        </w:tc>
        <w:tc>
          <w:tcPr>
            <w:tcW w:w="1839" w:type="dxa"/>
            <w:tcBorders>
              <w:top w:val="single" w:sz="4" w:space="0" w:color="000000"/>
              <w:left w:val="single" w:sz="4" w:space="0" w:color="000000"/>
              <w:bottom w:val="single" w:sz="4" w:space="0" w:color="000000"/>
              <w:right w:val="single" w:sz="4" w:space="0" w:color="000000"/>
            </w:tcBorders>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4</w:t>
            </w:r>
          </w:p>
        </w:tc>
        <w:tc>
          <w:tcPr>
            <w:tcW w:w="2694" w:type="dxa"/>
            <w:tcBorders>
              <w:top w:val="single" w:sz="4" w:space="0" w:color="000000"/>
              <w:left w:val="single" w:sz="4" w:space="0" w:color="000000"/>
              <w:bottom w:val="single" w:sz="4" w:space="0" w:color="000000"/>
              <w:right w:val="single" w:sz="4" w:space="0" w:color="000000"/>
            </w:tcBorders>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100%</w:t>
            </w:r>
          </w:p>
        </w:tc>
      </w:tr>
      <w:tr w:rsidR="00B52DE3">
        <w:trPr>
          <w:trHeight w:val="501"/>
        </w:trPr>
        <w:tc>
          <w:tcPr>
            <w:tcW w:w="271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Итого</w:t>
            </w:r>
          </w:p>
        </w:tc>
        <w:tc>
          <w:tcPr>
            <w:tcW w:w="2126" w:type="dxa"/>
            <w:tcBorders>
              <w:top w:val="single" w:sz="4" w:space="0" w:color="000000"/>
              <w:bottom w:val="single" w:sz="4" w:space="0" w:color="000000"/>
              <w:right w:val="single" w:sz="4" w:space="0" w:color="000000"/>
            </w:tcBorders>
            <w:shd w:val="clear" w:color="auto" w:fill="FFFFFF"/>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38</w:t>
            </w:r>
          </w:p>
        </w:tc>
        <w:tc>
          <w:tcPr>
            <w:tcW w:w="1839" w:type="dxa"/>
            <w:tcBorders>
              <w:top w:val="single" w:sz="4" w:space="0" w:color="000000"/>
              <w:left w:val="single" w:sz="4" w:space="0" w:color="000000"/>
              <w:bottom w:val="single" w:sz="4" w:space="0" w:color="000000"/>
              <w:right w:val="single" w:sz="4" w:space="0" w:color="000000"/>
            </w:tcBorders>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44</w:t>
            </w:r>
          </w:p>
        </w:tc>
        <w:tc>
          <w:tcPr>
            <w:tcW w:w="2694" w:type="dxa"/>
            <w:tcBorders>
              <w:top w:val="single" w:sz="4" w:space="0" w:color="000000"/>
              <w:left w:val="single" w:sz="4" w:space="0" w:color="000000"/>
              <w:bottom w:val="single" w:sz="4" w:space="0" w:color="000000"/>
              <w:right w:val="single" w:sz="4" w:space="0" w:color="000000"/>
            </w:tcBorders>
            <w:vAlign w:val="bottom"/>
          </w:tcPr>
          <w:p w:rsidR="00B52DE3" w:rsidRDefault="00DE73E3">
            <w:pPr>
              <w:pStyle w:val="afff3"/>
              <w:widowControl w:val="0"/>
              <w:spacing w:before="0" w:after="0"/>
              <w:jc w:val="center"/>
              <w:rPr>
                <w:rFonts w:ascii="Times New Roman" w:hAnsi="Times New Roman" w:cs="Times New Roman"/>
              </w:rPr>
            </w:pPr>
            <w:r>
              <w:rPr>
                <w:rFonts w:ascii="Times New Roman" w:eastAsia="Times New Roman" w:hAnsi="Times New Roman" w:cs="Times New Roman"/>
                <w:sz w:val="28"/>
                <w:szCs w:val="28"/>
              </w:rPr>
              <w:t>86,3</w:t>
            </w:r>
          </w:p>
        </w:tc>
      </w:tr>
    </w:tbl>
    <w:p w:rsidR="00B52DE3" w:rsidRDefault="00B52DE3">
      <w:pPr>
        <w:tabs>
          <w:tab w:val="left" w:pos="851"/>
        </w:tabs>
        <w:spacing w:after="0" w:line="360" w:lineRule="auto"/>
        <w:ind w:firstLine="709"/>
        <w:jc w:val="both"/>
        <w:rPr>
          <w:rFonts w:ascii="Times New Roman" w:hAnsi="Times New Roman" w:cs="Times New Roman"/>
          <w:sz w:val="28"/>
          <w:szCs w:val="28"/>
        </w:rPr>
      </w:pPr>
    </w:p>
    <w:p w:rsidR="00B52DE3" w:rsidRDefault="00DE73E3">
      <w:pPr>
        <w:tabs>
          <w:tab w:val="left" w:pos="851"/>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Оказано содействие 38 хозяйствующим субъектам Уссурийского городского округа Приморского края в заключении Соглашений с Министерством сельского хозяйства Приморского края о комплексном участии Программе.</w:t>
      </w:r>
    </w:p>
    <w:p w:rsidR="00B52DE3" w:rsidRDefault="00DE73E3">
      <w:pPr>
        <w:spacing w:after="0" w:line="360" w:lineRule="auto"/>
        <w:ind w:firstLine="540"/>
        <w:jc w:val="both"/>
        <w:rPr>
          <w:rFonts w:ascii="Times New Roman" w:hAnsi="Times New Roman" w:cs="Times New Roman"/>
        </w:rPr>
      </w:pPr>
      <w:r>
        <w:rPr>
          <w:rFonts w:ascii="Times New Roman" w:eastAsia="Times New Roman" w:hAnsi="Times New Roman" w:cs="Times New Roman"/>
          <w:sz w:val="28"/>
          <w:szCs w:val="28"/>
        </w:rPr>
        <w:t xml:space="preserve">Зафиксированные выплаты по субсидиям в рамках вышеуказанных соглашений по результатам реализации мероприятий Программы за 2025 год составляют 465,4 млн. рублей. </w:t>
      </w:r>
    </w:p>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b/>
          <w:bCs/>
          <w:color w:val="000000"/>
          <w:sz w:val="28"/>
          <w:szCs w:val="28"/>
        </w:rPr>
        <w:t xml:space="preserve">Производство продукции растениеводства за 2025 год </w:t>
      </w:r>
    </w:p>
    <w:p w:rsidR="00B52DE3" w:rsidRDefault="00B52DE3">
      <w:pPr>
        <w:widowControl w:val="0"/>
        <w:spacing w:after="0" w:line="240" w:lineRule="auto"/>
        <w:ind w:firstLine="709"/>
        <w:jc w:val="right"/>
        <w:rPr>
          <w:rFonts w:ascii="Times New Roman" w:hAnsi="Times New Roman" w:cs="Times New Roman"/>
          <w:color w:val="000000"/>
        </w:rPr>
      </w:pPr>
    </w:p>
    <w:tbl>
      <w:tblPr>
        <w:tblW w:w="9345" w:type="dxa"/>
        <w:tblInd w:w="-113" w:type="dxa"/>
        <w:tblLayout w:type="fixed"/>
        <w:tblLook w:val="04A0"/>
      </w:tblPr>
      <w:tblGrid>
        <w:gridCol w:w="3115"/>
        <w:gridCol w:w="3115"/>
        <w:gridCol w:w="3115"/>
      </w:tblGrid>
      <w:tr w:rsidR="00B52DE3">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pStyle w:val="afff3"/>
              <w:spacing w:before="0" w:after="0"/>
              <w:jc w:val="center"/>
              <w:rPr>
                <w:rFonts w:ascii="Times New Roman" w:hAnsi="Times New Roman" w:cs="Times New Roman"/>
              </w:rPr>
            </w:pPr>
            <w:r>
              <w:rPr>
                <w:rFonts w:ascii="Times New Roman" w:eastAsia="Times New Roman" w:hAnsi="Times New Roman" w:cs="Times New Roman"/>
                <w:sz w:val="28"/>
                <w:szCs w:val="28"/>
              </w:rPr>
              <w:t>Посевная площадь, гектаров</w:t>
            </w:r>
          </w:p>
        </w:tc>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pStyle w:val="afff3"/>
              <w:spacing w:before="0" w:after="0"/>
              <w:jc w:val="center"/>
              <w:rPr>
                <w:rFonts w:ascii="Times New Roman" w:hAnsi="Times New Roman" w:cs="Times New Roman"/>
              </w:rPr>
            </w:pPr>
            <w:r>
              <w:rPr>
                <w:rFonts w:ascii="Times New Roman" w:eastAsia="Times New Roman" w:hAnsi="Times New Roman" w:cs="Times New Roman"/>
                <w:sz w:val="28"/>
                <w:szCs w:val="28"/>
              </w:rPr>
              <w:t>Валовой сбор, тонн</w:t>
            </w:r>
          </w:p>
        </w:tc>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pStyle w:val="afff3"/>
              <w:spacing w:before="0" w:after="0"/>
              <w:jc w:val="center"/>
              <w:rPr>
                <w:rFonts w:ascii="Times New Roman" w:hAnsi="Times New Roman" w:cs="Times New Roman"/>
              </w:rPr>
            </w:pPr>
            <w:r>
              <w:rPr>
                <w:rFonts w:ascii="Times New Roman" w:eastAsia="Times New Roman" w:hAnsi="Times New Roman" w:cs="Times New Roman"/>
                <w:sz w:val="28"/>
                <w:szCs w:val="28"/>
              </w:rPr>
              <w:t>Урожайность, с 1 га убранной площади, тонн</w:t>
            </w:r>
          </w:p>
        </w:tc>
      </w:tr>
      <w:tr w:rsidR="00B52DE3">
        <w:trPr>
          <w:trHeight w:val="403"/>
        </w:trPr>
        <w:tc>
          <w:tcPr>
            <w:tcW w:w="9345" w:type="dxa"/>
            <w:gridSpan w:val="3"/>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bCs/>
                <w:color w:val="000000"/>
                <w:sz w:val="28"/>
                <w:szCs w:val="28"/>
              </w:rPr>
              <w:t>Уборка ранних зерновых культур</w:t>
            </w:r>
          </w:p>
        </w:tc>
      </w:tr>
      <w:tr w:rsidR="00B52DE3">
        <w:trPr>
          <w:trHeight w:val="210"/>
        </w:trPr>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662</w:t>
            </w:r>
          </w:p>
        </w:tc>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1 777,0</w:t>
            </w:r>
          </w:p>
        </w:tc>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2,6</w:t>
            </w:r>
          </w:p>
        </w:tc>
      </w:tr>
      <w:tr w:rsidR="00B52DE3">
        <w:tc>
          <w:tcPr>
            <w:tcW w:w="9345" w:type="dxa"/>
            <w:gridSpan w:val="3"/>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Уборка кукурузы на зерно</w:t>
            </w:r>
          </w:p>
        </w:tc>
      </w:tr>
      <w:tr w:rsidR="00B52DE3">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4570,9</w:t>
            </w:r>
          </w:p>
        </w:tc>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35 595,0</w:t>
            </w:r>
          </w:p>
        </w:tc>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rPr>
              <w:t>7,7</w:t>
            </w:r>
          </w:p>
        </w:tc>
      </w:tr>
      <w:tr w:rsidR="00B52DE3">
        <w:tc>
          <w:tcPr>
            <w:tcW w:w="9345" w:type="dxa"/>
            <w:gridSpan w:val="3"/>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bCs/>
                <w:color w:val="000000"/>
                <w:sz w:val="28"/>
                <w:szCs w:val="28"/>
              </w:rPr>
              <w:t>Уборка сои</w:t>
            </w:r>
          </w:p>
        </w:tc>
      </w:tr>
      <w:tr w:rsidR="00B52DE3">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lang w:val="en-US"/>
              </w:rPr>
              <w:t>17686</w:t>
            </w:r>
          </w:p>
        </w:tc>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lang w:val="en-US"/>
              </w:rPr>
              <w:t>41</w:t>
            </w:r>
            <w:r>
              <w:rPr>
                <w:rFonts w:ascii="Times New Roman" w:eastAsia="Times New Roman" w:hAnsi="Times New Roman" w:cs="Times New Roman"/>
                <w:sz w:val="28"/>
                <w:szCs w:val="28"/>
              </w:rPr>
              <w:t> </w:t>
            </w:r>
            <w:r>
              <w:rPr>
                <w:rFonts w:ascii="Times New Roman" w:eastAsia="Times New Roman" w:hAnsi="Times New Roman" w:cs="Times New Roman"/>
                <w:sz w:val="28"/>
                <w:szCs w:val="28"/>
                <w:lang w:val="en-US"/>
              </w:rPr>
              <w:t>962</w:t>
            </w:r>
            <w:r>
              <w:rPr>
                <w:rFonts w:ascii="Times New Roman" w:eastAsia="Times New Roman" w:hAnsi="Times New Roman" w:cs="Times New Roman"/>
                <w:sz w:val="28"/>
                <w:szCs w:val="28"/>
              </w:rPr>
              <w:t>,0</w:t>
            </w:r>
          </w:p>
        </w:tc>
        <w:tc>
          <w:tcPr>
            <w:tcW w:w="3115"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center"/>
              <w:rPr>
                <w:rFonts w:ascii="Times New Roman" w:hAnsi="Times New Roman" w:cs="Times New Roman"/>
              </w:rPr>
            </w:pPr>
            <w:r>
              <w:rPr>
                <w:rFonts w:ascii="Times New Roman" w:eastAsia="Times New Roman" w:hAnsi="Times New Roman" w:cs="Times New Roman"/>
                <w:sz w:val="28"/>
                <w:szCs w:val="28"/>
                <w:lang w:val="en-US"/>
              </w:rPr>
              <w:t>2,3</w:t>
            </w:r>
          </w:p>
        </w:tc>
      </w:tr>
    </w:tbl>
    <w:p w:rsidR="00B52DE3" w:rsidRDefault="00B52DE3">
      <w:pPr>
        <w:widowControl w:val="0"/>
        <w:spacing w:after="0" w:line="360" w:lineRule="auto"/>
        <w:ind w:firstLine="708"/>
        <w:jc w:val="both"/>
        <w:rPr>
          <w:rFonts w:ascii="Times New Roman" w:hAnsi="Times New Roman" w:cs="Times New Roman"/>
          <w:sz w:val="28"/>
          <w:szCs w:val="28"/>
        </w:rPr>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Для обеспечения полноценного прохождения зимне-стойлового периода хозяйства осуществили заготовку кормов в объёме по плану </w:t>
      </w:r>
      <w:r>
        <w:rPr>
          <w:rFonts w:ascii="Times New Roman" w:eastAsia="Times New Roman" w:hAnsi="Times New Roman" w:cs="Times New Roman"/>
          <w:sz w:val="28"/>
          <w:szCs w:val="28"/>
        </w:rPr>
        <w:lastRenderedPageBreak/>
        <w:t>заготовки: силос - 20 482,0 тонн, сенаж - 3 500,0 тонн, сено - 8 043,0 тонн, солома - 1 100,0 тонн.</w:t>
      </w:r>
    </w:p>
    <w:p w:rsidR="00B52DE3" w:rsidRDefault="00B52DE3">
      <w:pPr>
        <w:widowControl w:val="0"/>
        <w:spacing w:after="0" w:line="240" w:lineRule="auto"/>
        <w:ind w:firstLine="709"/>
        <w:jc w:val="center"/>
        <w:rPr>
          <w:rFonts w:ascii="Times New Roman" w:hAnsi="Times New Roman" w:cs="Times New Roman"/>
          <w:color w:val="000000"/>
          <w:sz w:val="28"/>
          <w:szCs w:val="28"/>
        </w:rPr>
      </w:pPr>
    </w:p>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b/>
          <w:bCs/>
          <w:color w:val="000000"/>
          <w:sz w:val="28"/>
          <w:szCs w:val="28"/>
        </w:rPr>
        <w:t xml:space="preserve">Поголовье сельскохозяйственных животных </w:t>
      </w:r>
    </w:p>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b/>
          <w:bCs/>
          <w:color w:val="000000"/>
          <w:sz w:val="28"/>
          <w:szCs w:val="28"/>
        </w:rPr>
        <w:t xml:space="preserve">во всех категориях хозяйств </w:t>
      </w:r>
    </w:p>
    <w:p w:rsidR="00B52DE3" w:rsidRDefault="00B52DE3">
      <w:pPr>
        <w:widowControl w:val="0"/>
        <w:spacing w:after="0" w:line="240" w:lineRule="auto"/>
        <w:ind w:firstLine="709"/>
        <w:jc w:val="right"/>
        <w:rPr>
          <w:rFonts w:ascii="Times New Roman" w:hAnsi="Times New Roman" w:cs="Times New Roman"/>
          <w:color w:val="000000"/>
          <w:sz w:val="28"/>
          <w:szCs w:val="28"/>
        </w:rPr>
      </w:pPr>
    </w:p>
    <w:p w:rsidR="00B52DE3" w:rsidRDefault="00B52DE3">
      <w:pPr>
        <w:widowControl w:val="0"/>
        <w:spacing w:after="0" w:line="240" w:lineRule="auto"/>
        <w:jc w:val="center"/>
        <w:rPr>
          <w:rFonts w:ascii="Times New Roman" w:hAnsi="Times New Roman" w:cs="Times New Roman"/>
          <w:color w:val="000000"/>
          <w:sz w:val="28"/>
          <w:szCs w:val="28"/>
        </w:rPr>
      </w:pPr>
    </w:p>
    <w:tbl>
      <w:tblPr>
        <w:tblW w:w="9355" w:type="dxa"/>
        <w:tblInd w:w="108" w:type="dxa"/>
        <w:tblLayout w:type="fixed"/>
        <w:tblCellMar>
          <w:top w:w="28" w:type="dxa"/>
          <w:bottom w:w="28" w:type="dxa"/>
        </w:tblCellMar>
        <w:tblLook w:val="04A0"/>
      </w:tblPr>
      <w:tblGrid>
        <w:gridCol w:w="695"/>
        <w:gridCol w:w="2935"/>
        <w:gridCol w:w="2657"/>
        <w:gridCol w:w="3068"/>
      </w:tblGrid>
      <w:tr w:rsidR="00B52DE3">
        <w:tc>
          <w:tcPr>
            <w:tcW w:w="69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pPr>
            <w:r>
              <w:t xml:space="preserve">№ </w:t>
            </w:r>
            <w:proofErr w:type="spellStart"/>
            <w:r>
              <w:rPr>
                <w:rFonts w:ascii="Times New Roman" w:hAnsi="Times New Roman"/>
                <w:sz w:val="28"/>
              </w:rPr>
              <w:t>п</w:t>
            </w:r>
            <w:proofErr w:type="spellEnd"/>
            <w:r>
              <w:rPr>
                <w:rFonts w:ascii="Times New Roman" w:hAnsi="Times New Roman"/>
                <w:sz w:val="28"/>
              </w:rPr>
              <w:t>/</w:t>
            </w:r>
            <w:proofErr w:type="spellStart"/>
            <w:r>
              <w:rPr>
                <w:rFonts w:ascii="Times New Roman" w:hAnsi="Times New Roman"/>
                <w:sz w:val="28"/>
              </w:rPr>
              <w:t>п</w:t>
            </w:r>
            <w:proofErr w:type="spellEnd"/>
          </w:p>
        </w:tc>
        <w:tc>
          <w:tcPr>
            <w:tcW w:w="293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rPr>
            </w:pPr>
            <w:r>
              <w:rPr>
                <w:rFonts w:ascii="Times New Roman" w:hAnsi="Times New Roman"/>
                <w:sz w:val="28"/>
              </w:rPr>
              <w:t>Поголовье сельскохозяйственных животных</w:t>
            </w:r>
          </w:p>
          <w:p w:rsidR="00B52DE3" w:rsidRDefault="00DE73E3">
            <w:pPr>
              <w:pStyle w:val="afffc"/>
              <w:jc w:val="center"/>
              <w:rPr>
                <w:rFonts w:ascii="Times New Roman" w:hAnsi="Times New Roman"/>
                <w:sz w:val="28"/>
              </w:rPr>
            </w:pPr>
            <w:r>
              <w:rPr>
                <w:rFonts w:ascii="Times New Roman" w:hAnsi="Times New Roman"/>
                <w:sz w:val="28"/>
              </w:rPr>
              <w:t>во всех категориях хозяйств</w:t>
            </w:r>
          </w:p>
        </w:tc>
        <w:tc>
          <w:tcPr>
            <w:tcW w:w="572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rPr>
            </w:pPr>
            <w:r>
              <w:rPr>
                <w:rFonts w:ascii="Times New Roman" w:hAnsi="Times New Roman"/>
                <w:sz w:val="28"/>
              </w:rPr>
              <w:t>В хозяйствах всех категорий</w:t>
            </w:r>
          </w:p>
        </w:tc>
      </w:tr>
      <w:tr w:rsidR="00B52DE3">
        <w:tc>
          <w:tcPr>
            <w:tcW w:w="69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B52DE3">
            <w:pPr>
              <w:pStyle w:val="afffc"/>
              <w:rPr>
                <w:sz w:val="4"/>
                <w:szCs w:val="4"/>
              </w:rPr>
            </w:pPr>
          </w:p>
        </w:tc>
        <w:tc>
          <w:tcPr>
            <w:tcW w:w="293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B52DE3">
            <w:pPr>
              <w:pStyle w:val="afffc"/>
              <w:rPr>
                <w:sz w:val="4"/>
                <w:szCs w:val="4"/>
              </w:rPr>
            </w:pP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rPr>
            </w:pPr>
            <w:r>
              <w:rPr>
                <w:rFonts w:ascii="Times New Roman" w:hAnsi="Times New Roman"/>
                <w:sz w:val="28"/>
              </w:rPr>
              <w:t>На конец декабря 2025</w:t>
            </w:r>
          </w:p>
        </w:tc>
        <w:tc>
          <w:tcPr>
            <w:tcW w:w="3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pPr>
            <w:r>
              <w:rPr>
                <w:rFonts w:ascii="Times New Roman" w:hAnsi="Times New Roman"/>
                <w:sz w:val="28"/>
              </w:rPr>
              <w:t>% к концу</w:t>
            </w:r>
            <w:r>
              <w:t xml:space="preserve"> </w:t>
            </w:r>
            <w:r>
              <w:rPr>
                <w:rFonts w:ascii="Times New Roman" w:hAnsi="Times New Roman"/>
                <w:sz w:val="28"/>
              </w:rPr>
              <w:t>декабря</w:t>
            </w:r>
          </w:p>
          <w:p w:rsidR="00B52DE3" w:rsidRDefault="00DE73E3">
            <w:pPr>
              <w:pStyle w:val="afffc"/>
              <w:jc w:val="center"/>
              <w:rPr>
                <w:rFonts w:ascii="Times New Roman" w:hAnsi="Times New Roman"/>
                <w:sz w:val="28"/>
              </w:rPr>
            </w:pPr>
            <w:r>
              <w:rPr>
                <w:rFonts w:ascii="Times New Roman" w:hAnsi="Times New Roman"/>
                <w:sz w:val="28"/>
              </w:rPr>
              <w:t>2024 года</w:t>
            </w:r>
          </w:p>
        </w:tc>
      </w:tr>
      <w:tr w:rsidR="00B52DE3">
        <w:tc>
          <w:tcPr>
            <w:tcW w:w="695"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1</w:t>
            </w:r>
          </w:p>
        </w:tc>
        <w:tc>
          <w:tcPr>
            <w:tcW w:w="2935"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rPr>
                <w:rFonts w:ascii="Times New Roman" w:hAnsi="Times New Roman"/>
                <w:sz w:val="28"/>
              </w:rPr>
            </w:pPr>
            <w:r>
              <w:rPr>
                <w:rFonts w:ascii="Times New Roman" w:hAnsi="Times New Roman"/>
                <w:sz w:val="28"/>
              </w:rPr>
              <w:t>крупный рогатый скот (КРС), голов</w:t>
            </w:r>
          </w:p>
        </w:tc>
        <w:tc>
          <w:tcPr>
            <w:tcW w:w="2657"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6555</w:t>
            </w:r>
          </w:p>
        </w:tc>
        <w:tc>
          <w:tcPr>
            <w:tcW w:w="3068"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98,8</w:t>
            </w:r>
          </w:p>
        </w:tc>
      </w:tr>
      <w:tr w:rsidR="00B52DE3">
        <w:tc>
          <w:tcPr>
            <w:tcW w:w="695"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2</w:t>
            </w:r>
          </w:p>
        </w:tc>
        <w:tc>
          <w:tcPr>
            <w:tcW w:w="2935"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rPr>
                <w:rFonts w:ascii="Times New Roman" w:hAnsi="Times New Roman"/>
                <w:sz w:val="28"/>
              </w:rPr>
            </w:pPr>
            <w:r>
              <w:rPr>
                <w:rFonts w:ascii="Times New Roman" w:hAnsi="Times New Roman"/>
                <w:sz w:val="28"/>
              </w:rPr>
              <w:t>свиньи, голов</w:t>
            </w:r>
          </w:p>
        </w:tc>
        <w:tc>
          <w:tcPr>
            <w:tcW w:w="2657"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3129</w:t>
            </w:r>
          </w:p>
        </w:tc>
        <w:tc>
          <w:tcPr>
            <w:tcW w:w="3068"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242,0</w:t>
            </w:r>
          </w:p>
        </w:tc>
      </w:tr>
      <w:tr w:rsidR="00B52DE3">
        <w:tc>
          <w:tcPr>
            <w:tcW w:w="695"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3</w:t>
            </w:r>
          </w:p>
        </w:tc>
        <w:tc>
          <w:tcPr>
            <w:tcW w:w="2935"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rPr>
                <w:rFonts w:ascii="Times New Roman" w:hAnsi="Times New Roman"/>
                <w:sz w:val="28"/>
              </w:rPr>
            </w:pPr>
            <w:r>
              <w:rPr>
                <w:rFonts w:ascii="Times New Roman" w:hAnsi="Times New Roman"/>
                <w:sz w:val="28"/>
              </w:rPr>
              <w:t>овцы и козы, голов</w:t>
            </w:r>
          </w:p>
        </w:tc>
        <w:tc>
          <w:tcPr>
            <w:tcW w:w="2657"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2567</w:t>
            </w:r>
          </w:p>
        </w:tc>
        <w:tc>
          <w:tcPr>
            <w:tcW w:w="3068"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100,6</w:t>
            </w:r>
          </w:p>
        </w:tc>
      </w:tr>
      <w:tr w:rsidR="00B52DE3">
        <w:tc>
          <w:tcPr>
            <w:tcW w:w="695"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4</w:t>
            </w:r>
          </w:p>
        </w:tc>
        <w:tc>
          <w:tcPr>
            <w:tcW w:w="2935"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pPr>
            <w:r>
              <w:rPr>
                <w:rFonts w:ascii="Times New Roman" w:hAnsi="Times New Roman"/>
                <w:sz w:val="28"/>
              </w:rPr>
              <w:t>птица, тыс. голов</w:t>
            </w:r>
          </w:p>
        </w:tc>
        <w:tc>
          <w:tcPr>
            <w:tcW w:w="2657"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147,3</w:t>
            </w:r>
          </w:p>
        </w:tc>
        <w:tc>
          <w:tcPr>
            <w:tcW w:w="3068"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center"/>
              <w:rPr>
                <w:rFonts w:ascii="Times New Roman" w:hAnsi="Times New Roman"/>
                <w:sz w:val="28"/>
              </w:rPr>
            </w:pPr>
            <w:r>
              <w:rPr>
                <w:rFonts w:ascii="Times New Roman" w:hAnsi="Times New Roman"/>
                <w:sz w:val="28"/>
              </w:rPr>
              <w:t>215</w:t>
            </w:r>
          </w:p>
        </w:tc>
      </w:tr>
    </w:tbl>
    <w:p w:rsidR="00B52DE3" w:rsidRDefault="00B52DE3">
      <w:pPr>
        <w:widowControl w:val="0"/>
        <w:spacing w:after="0" w:line="240" w:lineRule="auto"/>
        <w:jc w:val="center"/>
        <w:rPr>
          <w:rFonts w:ascii="Times New Roman" w:hAnsi="Times New Roman" w:cs="Times New Roman"/>
          <w:color w:val="000000"/>
          <w:sz w:val="28"/>
          <w:szCs w:val="28"/>
        </w:rPr>
      </w:pPr>
    </w:p>
    <w:p w:rsidR="00B52DE3" w:rsidRDefault="00DE73E3">
      <w:pPr>
        <w:pStyle w:val="aff8"/>
        <w:widowControl w:val="0"/>
        <w:spacing w:after="0" w:line="360" w:lineRule="auto"/>
        <w:jc w:val="both"/>
      </w:pPr>
      <w:r>
        <w:rPr>
          <w:color w:val="000000"/>
          <w:sz w:val="28"/>
          <w:szCs w:val="28"/>
        </w:rPr>
        <w:t>Крупный рогатый скот (КРС): спад (-1,2%). Текущие показатели: 6 555 голов (98,8% к уровню 2024 года), сокращение составило около 80 голов. </w:t>
      </w:r>
    </w:p>
    <w:p w:rsidR="00B52DE3" w:rsidRDefault="00DE73E3">
      <w:pPr>
        <w:pStyle w:val="aff8"/>
        <w:spacing w:after="0" w:line="360" w:lineRule="auto"/>
        <w:ind w:firstLine="708"/>
        <w:jc w:val="both"/>
        <w:rPr>
          <w:color w:val="000000"/>
          <w:sz w:val="28"/>
        </w:rPr>
      </w:pPr>
      <w:r>
        <w:rPr>
          <w:color w:val="000000"/>
          <w:sz w:val="28"/>
        </w:rPr>
        <w:t xml:space="preserve">Свиньи: резкий рост (+142%). Текущие показатели: 3 129 голов (242,0% к уровню 2024 года), прирост составил более 1 800 голов. Поголовье увеличилось почти в 2,5 раза. </w:t>
      </w:r>
    </w:p>
    <w:p w:rsidR="00B52DE3" w:rsidRDefault="00DE73E3">
      <w:pPr>
        <w:pStyle w:val="aff8"/>
        <w:spacing w:after="0" w:line="360" w:lineRule="auto"/>
        <w:ind w:firstLine="708"/>
        <w:jc w:val="both"/>
        <w:rPr>
          <w:color w:val="000000"/>
          <w:sz w:val="28"/>
        </w:rPr>
      </w:pPr>
      <w:r>
        <w:rPr>
          <w:color w:val="000000"/>
          <w:sz w:val="28"/>
        </w:rPr>
        <w:t>Овцы и козы: стагнация (+0,6%). Текущие показатели: 2 567 голов (100,6% к уровню 2024 года), прирост 15 голов.</w:t>
      </w:r>
    </w:p>
    <w:p w:rsidR="00B52DE3" w:rsidRDefault="00DE73E3">
      <w:pPr>
        <w:pStyle w:val="aff8"/>
        <w:spacing w:line="360" w:lineRule="auto"/>
        <w:jc w:val="both"/>
      </w:pPr>
      <w:r>
        <w:rPr>
          <w:color w:val="000000"/>
          <w:sz w:val="28"/>
        </w:rPr>
        <w:t>Птица: Двукратное увеличение (+115%). Текущие показатели: 147,3 тыс. голов (215,0% к уровню 2024 года), прирост почти на 79 тыс. голов.</w:t>
      </w:r>
    </w:p>
    <w:p w:rsidR="00B52DE3" w:rsidRDefault="00B52DE3">
      <w:pPr>
        <w:pStyle w:val="aff8"/>
        <w:spacing w:line="360" w:lineRule="auto"/>
        <w:jc w:val="both"/>
        <w:rPr>
          <w:color w:val="000000"/>
          <w:sz w:val="28"/>
          <w:szCs w:val="28"/>
        </w:rPr>
      </w:pP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bCs/>
          <w:color w:val="000000"/>
          <w:sz w:val="28"/>
          <w:szCs w:val="28"/>
        </w:rPr>
        <w:t xml:space="preserve">Производство основных продуктов животноводства </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bCs/>
          <w:color w:val="000000"/>
          <w:sz w:val="28"/>
          <w:szCs w:val="28"/>
        </w:rPr>
        <w:t>в хозяйствах всех категорий</w:t>
      </w:r>
    </w:p>
    <w:p w:rsidR="00B52DE3" w:rsidRDefault="00B52DE3">
      <w:pPr>
        <w:widowControl w:val="0"/>
        <w:spacing w:after="0" w:line="240" w:lineRule="auto"/>
        <w:jc w:val="center"/>
        <w:rPr>
          <w:rFonts w:ascii="Times New Roman" w:hAnsi="Times New Roman" w:cs="Times New Roman"/>
        </w:rPr>
      </w:pPr>
    </w:p>
    <w:tbl>
      <w:tblPr>
        <w:tblW w:w="9345" w:type="dxa"/>
        <w:tblInd w:w="108" w:type="dxa"/>
        <w:tblLayout w:type="fixed"/>
        <w:tblCellMar>
          <w:top w:w="28" w:type="dxa"/>
          <w:bottom w:w="28" w:type="dxa"/>
        </w:tblCellMar>
        <w:tblLook w:val="04A0"/>
      </w:tblPr>
      <w:tblGrid>
        <w:gridCol w:w="675"/>
        <w:gridCol w:w="2325"/>
        <w:gridCol w:w="1665"/>
        <w:gridCol w:w="1590"/>
        <w:gridCol w:w="3090"/>
      </w:tblGrid>
      <w:tr w:rsidR="00B52DE3">
        <w:tc>
          <w:tcPr>
            <w:tcW w:w="6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п</w:t>
            </w:r>
            <w:proofErr w:type="spellEnd"/>
            <w:r>
              <w:rPr>
                <w:rFonts w:ascii="Times New Roman" w:hAnsi="Times New Roman"/>
                <w:sz w:val="28"/>
                <w:szCs w:val="28"/>
              </w:rPr>
              <w:t>/</w:t>
            </w:r>
            <w:proofErr w:type="spellStart"/>
            <w:r>
              <w:rPr>
                <w:rFonts w:ascii="Times New Roman" w:hAnsi="Times New Roman"/>
                <w:sz w:val="28"/>
                <w:szCs w:val="28"/>
              </w:rPr>
              <w:t>п</w:t>
            </w:r>
            <w:proofErr w:type="spellEnd"/>
          </w:p>
        </w:tc>
        <w:tc>
          <w:tcPr>
            <w:tcW w:w="232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Основные продукты животноводства</w:t>
            </w:r>
          </w:p>
        </w:tc>
        <w:tc>
          <w:tcPr>
            <w:tcW w:w="325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В хозяйствах всех категорий</w:t>
            </w:r>
          </w:p>
        </w:tc>
        <w:tc>
          <w:tcPr>
            <w:tcW w:w="3090" w:type="dxa"/>
            <w:vMerge w:val="restart"/>
            <w:tcBorders>
              <w:top w:val="single" w:sz="4" w:space="0" w:color="000000"/>
              <w:left w:val="single" w:sz="4" w:space="0" w:color="000000"/>
              <w:right w:val="single" w:sz="4" w:space="0" w:color="000000"/>
            </w:tcBorders>
            <w:shd w:val="clear" w:color="auto" w:fill="FFFFFF"/>
            <w:tcMar>
              <w:bottom w:w="0" w:type="dxa"/>
            </w:tcMar>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Причины снижения / увеличения производства</w:t>
            </w:r>
          </w:p>
        </w:tc>
      </w:tr>
      <w:tr w:rsidR="00B52DE3">
        <w:tc>
          <w:tcPr>
            <w:tcW w:w="6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B52DE3">
            <w:pPr>
              <w:pStyle w:val="afffc"/>
              <w:rPr>
                <w:rFonts w:ascii="Times New Roman" w:hAnsi="Times New Roman"/>
                <w:sz w:val="28"/>
                <w:szCs w:val="28"/>
              </w:rPr>
            </w:pPr>
          </w:p>
        </w:tc>
        <w:tc>
          <w:tcPr>
            <w:tcW w:w="232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B52DE3">
            <w:pPr>
              <w:pStyle w:val="afffc"/>
              <w:rPr>
                <w:rFonts w:ascii="Times New Roman" w:hAnsi="Times New Roman"/>
                <w:sz w:val="28"/>
                <w:szCs w:val="28"/>
              </w:rPr>
            </w:pPr>
          </w:p>
        </w:tc>
        <w:tc>
          <w:tcPr>
            <w:tcW w:w="16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2025 год</w:t>
            </w:r>
          </w:p>
        </w:tc>
        <w:tc>
          <w:tcPr>
            <w:tcW w:w="15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в % к 2024 году</w:t>
            </w:r>
          </w:p>
        </w:tc>
        <w:tc>
          <w:tcPr>
            <w:tcW w:w="3090" w:type="dxa"/>
            <w:vMerge/>
            <w:tcBorders>
              <w:top w:val="single" w:sz="4" w:space="0" w:color="000000"/>
              <w:left w:val="single" w:sz="4" w:space="0" w:color="000000"/>
              <w:right w:val="single" w:sz="4" w:space="0" w:color="000000"/>
            </w:tcBorders>
            <w:shd w:val="clear" w:color="auto" w:fill="FFFFFF"/>
            <w:tcMar>
              <w:bottom w:w="0" w:type="dxa"/>
            </w:tcMar>
            <w:vAlign w:val="center"/>
          </w:tcPr>
          <w:p w:rsidR="00B52DE3" w:rsidRDefault="00B52DE3">
            <w:pPr>
              <w:pStyle w:val="afffc"/>
              <w:rPr>
                <w:rFonts w:ascii="Times New Roman" w:hAnsi="Times New Roman"/>
                <w:sz w:val="28"/>
                <w:szCs w:val="28"/>
              </w:rPr>
            </w:pPr>
          </w:p>
        </w:tc>
      </w:tr>
      <w:tr w:rsidR="00B52DE3">
        <w:tc>
          <w:tcPr>
            <w:tcW w:w="6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both"/>
              <w:rPr>
                <w:rFonts w:ascii="Times New Roman" w:hAnsi="Times New Roman"/>
                <w:sz w:val="28"/>
                <w:szCs w:val="28"/>
              </w:rPr>
            </w:pPr>
            <w:r>
              <w:rPr>
                <w:rFonts w:ascii="Times New Roman" w:hAnsi="Times New Roman"/>
                <w:sz w:val="28"/>
                <w:szCs w:val="28"/>
              </w:rPr>
              <w:lastRenderedPageBreak/>
              <w:t>1</w:t>
            </w:r>
          </w:p>
        </w:tc>
        <w:tc>
          <w:tcPr>
            <w:tcW w:w="23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both"/>
              <w:rPr>
                <w:rFonts w:ascii="Times New Roman" w:hAnsi="Times New Roman"/>
                <w:sz w:val="28"/>
                <w:szCs w:val="28"/>
              </w:rPr>
            </w:pPr>
            <w:r>
              <w:rPr>
                <w:rFonts w:ascii="Times New Roman" w:hAnsi="Times New Roman"/>
                <w:sz w:val="28"/>
                <w:szCs w:val="28"/>
              </w:rPr>
              <w:t>скот и птица на убой  (в живом весе), тонн</w:t>
            </w:r>
          </w:p>
        </w:tc>
        <w:tc>
          <w:tcPr>
            <w:tcW w:w="16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1435,0</w:t>
            </w:r>
          </w:p>
        </w:tc>
        <w:tc>
          <w:tcPr>
            <w:tcW w:w="15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107,4</w:t>
            </w:r>
          </w:p>
        </w:tc>
        <w:tc>
          <w:tcPr>
            <w:tcW w:w="3090"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both"/>
              <w:rPr>
                <w:rFonts w:ascii="Times New Roman" w:hAnsi="Times New Roman"/>
                <w:sz w:val="28"/>
                <w:szCs w:val="28"/>
              </w:rPr>
            </w:pPr>
            <w:r>
              <w:rPr>
                <w:rFonts w:ascii="Times New Roman" w:hAnsi="Times New Roman"/>
                <w:sz w:val="28"/>
                <w:szCs w:val="28"/>
              </w:rPr>
              <w:t>Воспроизводство птицы</w:t>
            </w:r>
          </w:p>
        </w:tc>
      </w:tr>
      <w:tr w:rsidR="00B52DE3">
        <w:tc>
          <w:tcPr>
            <w:tcW w:w="6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both"/>
              <w:rPr>
                <w:rFonts w:ascii="Times New Roman" w:hAnsi="Times New Roman"/>
                <w:sz w:val="28"/>
                <w:szCs w:val="28"/>
              </w:rPr>
            </w:pPr>
            <w:r>
              <w:rPr>
                <w:rFonts w:ascii="Times New Roman" w:hAnsi="Times New Roman"/>
                <w:sz w:val="28"/>
                <w:szCs w:val="28"/>
              </w:rPr>
              <w:t>2</w:t>
            </w:r>
          </w:p>
        </w:tc>
        <w:tc>
          <w:tcPr>
            <w:tcW w:w="23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both"/>
              <w:rPr>
                <w:rFonts w:ascii="Times New Roman" w:hAnsi="Times New Roman"/>
                <w:sz w:val="28"/>
                <w:szCs w:val="28"/>
              </w:rPr>
            </w:pPr>
            <w:r>
              <w:rPr>
                <w:rFonts w:ascii="Times New Roman" w:hAnsi="Times New Roman"/>
                <w:sz w:val="28"/>
                <w:szCs w:val="28"/>
              </w:rPr>
              <w:t>молоко, тонн</w:t>
            </w:r>
          </w:p>
        </w:tc>
        <w:tc>
          <w:tcPr>
            <w:tcW w:w="16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23967,0</w:t>
            </w:r>
          </w:p>
        </w:tc>
        <w:tc>
          <w:tcPr>
            <w:tcW w:w="15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99,3</w:t>
            </w:r>
          </w:p>
        </w:tc>
        <w:tc>
          <w:tcPr>
            <w:tcW w:w="3090"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both"/>
              <w:rPr>
                <w:rFonts w:ascii="Times New Roman" w:hAnsi="Times New Roman"/>
                <w:sz w:val="28"/>
                <w:szCs w:val="28"/>
              </w:rPr>
            </w:pPr>
            <w:r>
              <w:rPr>
                <w:rFonts w:ascii="Times New Roman" w:hAnsi="Times New Roman"/>
                <w:sz w:val="28"/>
                <w:szCs w:val="28"/>
              </w:rPr>
              <w:t>Снижение продуктивности дойного стада</w:t>
            </w:r>
          </w:p>
        </w:tc>
      </w:tr>
      <w:tr w:rsidR="00B52DE3">
        <w:tc>
          <w:tcPr>
            <w:tcW w:w="6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both"/>
              <w:rPr>
                <w:rFonts w:ascii="Times New Roman" w:hAnsi="Times New Roman"/>
                <w:sz w:val="28"/>
                <w:szCs w:val="28"/>
              </w:rPr>
            </w:pPr>
            <w:r>
              <w:rPr>
                <w:rFonts w:ascii="Times New Roman" w:hAnsi="Times New Roman"/>
                <w:sz w:val="28"/>
                <w:szCs w:val="28"/>
              </w:rPr>
              <w:t>3</w:t>
            </w:r>
          </w:p>
        </w:tc>
        <w:tc>
          <w:tcPr>
            <w:tcW w:w="23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both"/>
              <w:rPr>
                <w:rFonts w:ascii="Times New Roman" w:hAnsi="Times New Roman"/>
                <w:sz w:val="28"/>
                <w:szCs w:val="28"/>
              </w:rPr>
            </w:pPr>
            <w:r>
              <w:rPr>
                <w:rFonts w:ascii="Times New Roman" w:hAnsi="Times New Roman"/>
                <w:sz w:val="28"/>
                <w:szCs w:val="28"/>
              </w:rPr>
              <w:t>яйцо, тыс. штук</w:t>
            </w:r>
          </w:p>
        </w:tc>
        <w:tc>
          <w:tcPr>
            <w:tcW w:w="16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21475,0</w:t>
            </w:r>
          </w:p>
        </w:tc>
        <w:tc>
          <w:tcPr>
            <w:tcW w:w="15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pStyle w:val="afffc"/>
              <w:jc w:val="center"/>
              <w:rPr>
                <w:rFonts w:ascii="Times New Roman" w:hAnsi="Times New Roman"/>
                <w:sz w:val="28"/>
                <w:szCs w:val="28"/>
              </w:rPr>
            </w:pPr>
            <w:r>
              <w:rPr>
                <w:rFonts w:ascii="Times New Roman" w:hAnsi="Times New Roman"/>
                <w:sz w:val="28"/>
                <w:szCs w:val="28"/>
              </w:rPr>
              <w:t>86,0</w:t>
            </w:r>
          </w:p>
        </w:tc>
        <w:tc>
          <w:tcPr>
            <w:tcW w:w="3090" w:type="dxa"/>
            <w:tcBorders>
              <w:top w:val="single" w:sz="4" w:space="0" w:color="000000"/>
              <w:left w:val="single" w:sz="4" w:space="0" w:color="000000"/>
              <w:bottom w:val="single" w:sz="4" w:space="0" w:color="000000"/>
              <w:right w:val="single" w:sz="4" w:space="0" w:color="000000"/>
            </w:tcBorders>
            <w:vAlign w:val="center"/>
          </w:tcPr>
          <w:p w:rsidR="00B52DE3" w:rsidRDefault="00DE73E3">
            <w:pPr>
              <w:pStyle w:val="afffc"/>
              <w:jc w:val="both"/>
              <w:rPr>
                <w:rFonts w:ascii="Times New Roman" w:hAnsi="Times New Roman"/>
                <w:sz w:val="28"/>
                <w:szCs w:val="28"/>
              </w:rPr>
            </w:pPr>
            <w:r>
              <w:rPr>
                <w:rFonts w:ascii="Times New Roman" w:hAnsi="Times New Roman"/>
                <w:sz w:val="28"/>
                <w:szCs w:val="28"/>
              </w:rPr>
              <w:t>Ликвидация поголовья кур в КФХ Ким Е.В. в связи с выявлением особо опасного заболевания (</w:t>
            </w:r>
            <w:proofErr w:type="spellStart"/>
            <w:r>
              <w:rPr>
                <w:rFonts w:ascii="Times New Roman" w:hAnsi="Times New Roman"/>
                <w:sz w:val="28"/>
                <w:szCs w:val="28"/>
              </w:rPr>
              <w:t>высокопатогенный</w:t>
            </w:r>
            <w:proofErr w:type="spellEnd"/>
            <w:r>
              <w:rPr>
                <w:rFonts w:ascii="Times New Roman" w:hAnsi="Times New Roman"/>
                <w:sz w:val="28"/>
                <w:szCs w:val="28"/>
              </w:rPr>
              <w:t xml:space="preserve"> грипп птиц) в октябре 2024 года</w:t>
            </w:r>
          </w:p>
        </w:tc>
      </w:tr>
    </w:tbl>
    <w:p w:rsidR="00B52DE3" w:rsidRDefault="00B52DE3">
      <w:pPr>
        <w:widowControl w:val="0"/>
        <w:spacing w:after="0" w:line="360" w:lineRule="auto"/>
        <w:jc w:val="right"/>
        <w:rPr>
          <w:rFonts w:ascii="Times New Roman" w:hAnsi="Times New Roman" w:cs="Times New Roman"/>
          <w:color w:val="000000"/>
          <w:sz w:val="28"/>
          <w:szCs w:val="28"/>
        </w:rPr>
      </w:pPr>
    </w:p>
    <w:p w:rsidR="00B52DE3" w:rsidRDefault="00DE73E3">
      <w:pPr>
        <w:pStyle w:val="aff8"/>
        <w:widowControl w:val="0"/>
        <w:spacing w:after="0" w:line="360" w:lineRule="auto"/>
        <w:ind w:firstLine="708"/>
        <w:jc w:val="both"/>
        <w:rPr>
          <w:sz w:val="28"/>
          <w:szCs w:val="28"/>
        </w:rPr>
      </w:pPr>
      <w:bookmarkStart w:id="112" w:name="_GoBack_Копия_2"/>
      <w:bookmarkEnd w:id="112"/>
      <w:r>
        <w:rPr>
          <w:color w:val="000000"/>
          <w:sz w:val="28"/>
          <w:szCs w:val="28"/>
        </w:rPr>
        <w:t>Скот и птица на убой (производство мяса): рост (+7,4%). Текущие показатели: 1 435,0 тонн (107,4% к уровню 2024 года), прирост составил                              99 тонн.</w:t>
      </w:r>
    </w:p>
    <w:p w:rsidR="00B52DE3" w:rsidRDefault="00DE73E3">
      <w:pPr>
        <w:pStyle w:val="aff8"/>
        <w:spacing w:after="0" w:line="360" w:lineRule="auto"/>
        <w:ind w:firstLine="709"/>
        <w:jc w:val="both"/>
        <w:rPr>
          <w:sz w:val="28"/>
          <w:szCs w:val="28"/>
        </w:rPr>
      </w:pPr>
      <w:r>
        <w:rPr>
          <w:color w:val="000000"/>
          <w:sz w:val="28"/>
          <w:szCs w:val="28"/>
        </w:rPr>
        <w:t>Молоко: небольшой спад (-0,7%). Текущие показатели: 23 967,0 тонн (99,3% к уровню 2024 года), недобор составил около 169 тонн.</w:t>
      </w:r>
    </w:p>
    <w:p w:rsidR="00B52DE3" w:rsidRDefault="00DE73E3">
      <w:pPr>
        <w:pStyle w:val="aff8"/>
        <w:spacing w:after="0" w:line="360" w:lineRule="auto"/>
        <w:ind w:firstLine="709"/>
        <w:jc w:val="both"/>
        <w:rPr>
          <w:sz w:val="28"/>
          <w:szCs w:val="28"/>
        </w:rPr>
      </w:pPr>
      <w:r>
        <w:rPr>
          <w:color w:val="000000"/>
          <w:sz w:val="28"/>
          <w:szCs w:val="28"/>
        </w:rPr>
        <w:t>Яйцо: спад (-14,0%). Текущие показатели: 21 475,0 тыс. штук (86,0% к уровню 2024 года), произведено почти на 3,5 млн</w:t>
      </w:r>
      <w:r w:rsidR="002569BF">
        <w:rPr>
          <w:color w:val="000000"/>
          <w:sz w:val="28"/>
          <w:szCs w:val="28"/>
        </w:rPr>
        <w:t>.</w:t>
      </w:r>
      <w:r>
        <w:rPr>
          <w:color w:val="000000"/>
          <w:sz w:val="28"/>
          <w:szCs w:val="28"/>
        </w:rPr>
        <w:t xml:space="preserve"> яиц меньше.</w:t>
      </w:r>
    </w:p>
    <w:p w:rsidR="00B52DE3" w:rsidRDefault="00DE73E3">
      <w:pPr>
        <w:pStyle w:val="Default"/>
        <w:spacing w:line="360" w:lineRule="auto"/>
        <w:ind w:firstLine="708"/>
        <w:jc w:val="both"/>
      </w:pPr>
      <w:r>
        <w:rPr>
          <w:rFonts w:eastAsia="Times New Roman"/>
          <w:sz w:val="28"/>
          <w:szCs w:val="28"/>
        </w:rPr>
        <w:t>Получателем гранта на развитие крестьянского (фермерского) хозяйства стал глава крестьянского (фермерского) хозяйства - Погорелов Сергей Николаевич, проект направлен на производство экологически чистого меда и продуктов пчеловодства.</w:t>
      </w:r>
    </w:p>
    <w:tbl>
      <w:tblPr>
        <w:tblW w:w="9354" w:type="dxa"/>
        <w:tblInd w:w="108" w:type="dxa"/>
        <w:tblLayout w:type="fixed"/>
        <w:tblLook w:val="04A0"/>
      </w:tblPr>
      <w:tblGrid>
        <w:gridCol w:w="5527"/>
        <w:gridCol w:w="3827"/>
      </w:tblGrid>
      <w:tr w:rsidR="00B52DE3">
        <w:trPr>
          <w:trHeight w:val="109"/>
        </w:trPr>
        <w:tc>
          <w:tcPr>
            <w:tcW w:w="5528"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Период реализации проекта</w:t>
            </w:r>
          </w:p>
        </w:tc>
        <w:tc>
          <w:tcPr>
            <w:tcW w:w="3827"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2026-2030 гг.</w:t>
            </w:r>
          </w:p>
        </w:tc>
      </w:tr>
      <w:tr w:rsidR="00B52DE3">
        <w:trPr>
          <w:trHeight w:val="109"/>
        </w:trPr>
        <w:tc>
          <w:tcPr>
            <w:tcW w:w="5528"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Стоимость проекта – всего, тыс. рублей</w:t>
            </w:r>
          </w:p>
        </w:tc>
        <w:tc>
          <w:tcPr>
            <w:tcW w:w="3827"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5 533 400,0  рублей</w:t>
            </w:r>
          </w:p>
        </w:tc>
      </w:tr>
      <w:tr w:rsidR="00B52DE3">
        <w:trPr>
          <w:trHeight w:val="109"/>
        </w:trPr>
        <w:tc>
          <w:tcPr>
            <w:tcW w:w="9354" w:type="dxa"/>
            <w:gridSpan w:val="2"/>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В том числе:</w:t>
            </w:r>
          </w:p>
        </w:tc>
      </w:tr>
      <w:tr w:rsidR="00B52DE3">
        <w:trPr>
          <w:trHeight w:val="109"/>
        </w:trPr>
        <w:tc>
          <w:tcPr>
            <w:tcW w:w="5528"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собственные средства</w:t>
            </w:r>
          </w:p>
        </w:tc>
        <w:tc>
          <w:tcPr>
            <w:tcW w:w="3827"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553 340,0 рублей</w:t>
            </w:r>
          </w:p>
        </w:tc>
      </w:tr>
      <w:tr w:rsidR="00B52DE3">
        <w:trPr>
          <w:trHeight w:val="425"/>
        </w:trPr>
        <w:tc>
          <w:tcPr>
            <w:tcW w:w="5528"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средства гранта:</w:t>
            </w:r>
          </w:p>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федеральный бюджет</w:t>
            </w:r>
          </w:p>
        </w:tc>
        <w:tc>
          <w:tcPr>
            <w:tcW w:w="3827" w:type="dxa"/>
            <w:tcBorders>
              <w:top w:val="single" w:sz="4" w:space="0" w:color="000000"/>
              <w:left w:val="single" w:sz="4" w:space="0" w:color="000000"/>
              <w:bottom w:val="single" w:sz="4" w:space="0" w:color="000000"/>
              <w:right w:val="single" w:sz="4" w:space="0" w:color="000000"/>
            </w:tcBorders>
          </w:tcPr>
          <w:p w:rsidR="00B52DE3" w:rsidRDefault="00B52DE3">
            <w:pPr>
              <w:widowControl w:val="0"/>
              <w:spacing w:after="0" w:line="240" w:lineRule="auto"/>
              <w:jc w:val="both"/>
              <w:rPr>
                <w:rFonts w:ascii="Times New Roman" w:hAnsi="Times New Roman" w:cs="Times New Roman"/>
                <w:color w:val="000000"/>
                <w:sz w:val="28"/>
                <w:szCs w:val="28"/>
              </w:rPr>
            </w:pPr>
          </w:p>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color w:val="000000"/>
                <w:sz w:val="28"/>
                <w:szCs w:val="28"/>
              </w:rPr>
              <w:t>4 980 060,0 рублей</w:t>
            </w:r>
          </w:p>
        </w:tc>
      </w:tr>
    </w:tbl>
    <w:p w:rsidR="00B52DE3" w:rsidRDefault="00B52DE3">
      <w:pPr>
        <w:widowControl w:val="0"/>
        <w:jc w:val="both"/>
        <w:rPr>
          <w:rFonts w:ascii="Times New Roman" w:hAnsi="Times New Roman" w:cs="Times New Roman"/>
          <w:sz w:val="28"/>
          <w:szCs w:val="28"/>
        </w:rPr>
      </w:pPr>
    </w:p>
    <w:p w:rsidR="00B52DE3" w:rsidRDefault="00DE73E3">
      <w:pPr>
        <w:widowControl w:val="0"/>
        <w:tabs>
          <w:tab w:val="left" w:pos="1845"/>
        </w:tabs>
        <w:spacing w:after="0" w:line="240" w:lineRule="auto"/>
        <w:ind w:firstLine="709"/>
        <w:contextualSpacing/>
        <w:jc w:val="center"/>
        <w:rPr>
          <w:rFonts w:ascii="Times New Roman" w:hAnsi="Times New Roman" w:cs="Times New Roman"/>
        </w:rPr>
      </w:pPr>
      <w:r>
        <w:rPr>
          <w:rFonts w:ascii="Times New Roman" w:eastAsia="Times New Roman" w:hAnsi="Times New Roman" w:cs="Times New Roman"/>
          <w:b/>
          <w:bCs/>
          <w:color w:val="000000"/>
          <w:sz w:val="28"/>
          <w:szCs w:val="28"/>
        </w:rPr>
        <w:t>Для подготовки к полевым работам 2026 года сельхозпроизводителями были проведены следующие мероприятия:</w:t>
      </w:r>
    </w:p>
    <w:p w:rsidR="00B52DE3" w:rsidRDefault="00B52DE3">
      <w:pPr>
        <w:widowControl w:val="0"/>
        <w:tabs>
          <w:tab w:val="left" w:pos="1845"/>
        </w:tabs>
        <w:spacing w:after="0" w:line="240" w:lineRule="auto"/>
        <w:ind w:firstLine="709"/>
        <w:contextualSpacing/>
        <w:jc w:val="center"/>
        <w:rPr>
          <w:rFonts w:ascii="Times New Roman" w:hAnsi="Times New Roman" w:cs="Times New Roman"/>
          <w:szCs w:val="28"/>
        </w:rPr>
      </w:pPr>
    </w:p>
    <w:tbl>
      <w:tblPr>
        <w:tblW w:w="9243" w:type="dxa"/>
        <w:tblInd w:w="-4" w:type="dxa"/>
        <w:tblLayout w:type="fixed"/>
        <w:tblLook w:val="04A0"/>
      </w:tblPr>
      <w:tblGrid>
        <w:gridCol w:w="733"/>
        <w:gridCol w:w="3124"/>
        <w:gridCol w:w="1843"/>
        <w:gridCol w:w="3543"/>
      </w:tblGrid>
      <w:tr w:rsidR="00B52DE3">
        <w:trPr>
          <w:trHeight w:val="601"/>
          <w:tblHeader/>
        </w:trPr>
        <w:tc>
          <w:tcPr>
            <w:tcW w:w="732" w:type="dxa"/>
            <w:tcBorders>
              <w:top w:val="single" w:sz="4" w:space="0" w:color="000000"/>
              <w:left w:val="single" w:sz="4" w:space="0" w:color="000000"/>
              <w:bottom w:val="single" w:sz="4" w:space="0" w:color="000000"/>
              <w:right w:val="single" w:sz="4" w:space="0" w:color="000000"/>
            </w:tcBorders>
          </w:tcPr>
          <w:p w:rsidR="00B52DE3" w:rsidRDefault="00DE73E3">
            <w:pPr>
              <w:pStyle w:val="afff3"/>
              <w:spacing w:before="0" w:after="0"/>
              <w:jc w:val="center"/>
              <w:rPr>
                <w:rFonts w:ascii="Times New Roman" w:hAnsi="Times New Roman" w:cs="Times New Roman"/>
              </w:rPr>
            </w:pPr>
            <w:r>
              <w:rPr>
                <w:rFonts w:ascii="Times New Roman" w:eastAsia="Times New Roman" w:hAnsi="Times New Roman" w:cs="Times New Roman"/>
                <w:sz w:val="28"/>
                <w:szCs w:val="28"/>
              </w:rPr>
              <w:lastRenderedPageBreak/>
              <w:t xml:space="preserve">№ </w:t>
            </w:r>
            <w:proofErr w:type="spellStart"/>
            <w:r>
              <w:rPr>
                <w:rFonts w:ascii="Times New Roman" w:eastAsia="Times New Roman" w:hAnsi="Times New Roman" w:cs="Times New Roman"/>
                <w:sz w:val="28"/>
                <w:szCs w:val="28"/>
              </w:rPr>
              <w:t>п</w:t>
            </w:r>
            <w:proofErr w:type="spell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3124" w:type="dxa"/>
            <w:tcBorders>
              <w:top w:val="single" w:sz="4" w:space="0" w:color="000000"/>
              <w:left w:val="single" w:sz="4" w:space="0" w:color="000000"/>
              <w:bottom w:val="single" w:sz="4" w:space="0" w:color="000000"/>
              <w:right w:val="single" w:sz="4" w:space="0" w:color="000000"/>
            </w:tcBorders>
          </w:tcPr>
          <w:p w:rsidR="00B52DE3" w:rsidRDefault="00DE73E3">
            <w:pPr>
              <w:pStyle w:val="afff3"/>
              <w:spacing w:before="0" w:after="0"/>
              <w:jc w:val="center"/>
              <w:rPr>
                <w:rFonts w:ascii="Times New Roman" w:hAnsi="Times New Roman" w:cs="Times New Roman"/>
              </w:rPr>
            </w:pPr>
            <w:r>
              <w:rPr>
                <w:rFonts w:ascii="Times New Roman" w:eastAsia="Times New Roman" w:hAnsi="Times New Roman" w:cs="Times New Roman"/>
                <w:sz w:val="28"/>
                <w:szCs w:val="28"/>
              </w:rPr>
              <w:t>Наименование мероприятия</w:t>
            </w:r>
          </w:p>
        </w:tc>
        <w:tc>
          <w:tcPr>
            <w:tcW w:w="1843" w:type="dxa"/>
            <w:tcBorders>
              <w:top w:val="single" w:sz="4" w:space="0" w:color="000000"/>
              <w:left w:val="single" w:sz="4" w:space="0" w:color="000000"/>
              <w:bottom w:val="single" w:sz="4" w:space="0" w:color="000000"/>
              <w:right w:val="single" w:sz="4" w:space="0" w:color="000000"/>
            </w:tcBorders>
          </w:tcPr>
          <w:p w:rsidR="00B52DE3" w:rsidRDefault="00DE73E3">
            <w:pPr>
              <w:pStyle w:val="afff3"/>
              <w:spacing w:before="0" w:after="0"/>
              <w:jc w:val="center"/>
              <w:rPr>
                <w:rFonts w:ascii="Times New Roman" w:hAnsi="Times New Roman" w:cs="Times New Roman"/>
              </w:rPr>
            </w:pPr>
            <w:r>
              <w:rPr>
                <w:rFonts w:ascii="Times New Roman" w:eastAsia="Times New Roman" w:hAnsi="Times New Roman" w:cs="Times New Roman"/>
                <w:sz w:val="28"/>
                <w:szCs w:val="28"/>
              </w:rPr>
              <w:t>Единица измерения</w:t>
            </w:r>
          </w:p>
        </w:tc>
        <w:tc>
          <w:tcPr>
            <w:tcW w:w="3543" w:type="dxa"/>
            <w:tcBorders>
              <w:top w:val="single" w:sz="4" w:space="0" w:color="000000"/>
              <w:left w:val="single" w:sz="4" w:space="0" w:color="000000"/>
              <w:bottom w:val="single" w:sz="4" w:space="0" w:color="000000"/>
              <w:right w:val="single" w:sz="4" w:space="0" w:color="000000"/>
            </w:tcBorders>
          </w:tcPr>
          <w:p w:rsidR="00B52DE3" w:rsidRDefault="00DE73E3">
            <w:pPr>
              <w:pStyle w:val="afff3"/>
              <w:spacing w:before="0" w:after="0"/>
              <w:jc w:val="center"/>
              <w:rPr>
                <w:rFonts w:ascii="Times New Roman" w:hAnsi="Times New Roman" w:cs="Times New Roman"/>
              </w:rPr>
            </w:pPr>
            <w:r>
              <w:rPr>
                <w:rFonts w:ascii="Times New Roman" w:eastAsia="Times New Roman" w:hAnsi="Times New Roman" w:cs="Times New Roman"/>
                <w:sz w:val="28"/>
                <w:szCs w:val="28"/>
              </w:rPr>
              <w:t>Количество</w:t>
            </w:r>
          </w:p>
        </w:tc>
      </w:tr>
      <w:tr w:rsidR="00B52DE3">
        <w:trPr>
          <w:trHeight w:val="329"/>
        </w:trPr>
        <w:tc>
          <w:tcPr>
            <w:tcW w:w="732"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1.</w:t>
            </w:r>
          </w:p>
        </w:tc>
        <w:tc>
          <w:tcPr>
            <w:tcW w:w="3124"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вспашка зяби</w:t>
            </w:r>
          </w:p>
        </w:tc>
        <w:tc>
          <w:tcPr>
            <w:tcW w:w="1843"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га</w:t>
            </w:r>
          </w:p>
        </w:tc>
        <w:tc>
          <w:tcPr>
            <w:tcW w:w="3543"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20 469,0</w:t>
            </w:r>
          </w:p>
        </w:tc>
      </w:tr>
      <w:tr w:rsidR="00B52DE3">
        <w:tc>
          <w:tcPr>
            <w:tcW w:w="732" w:type="dxa"/>
            <w:vMerge w:val="restart"/>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w:t>
            </w:r>
          </w:p>
        </w:tc>
        <w:tc>
          <w:tcPr>
            <w:tcW w:w="3124"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засыпано семян:</w:t>
            </w:r>
          </w:p>
        </w:tc>
        <w:tc>
          <w:tcPr>
            <w:tcW w:w="1843"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тонн</w:t>
            </w:r>
          </w:p>
        </w:tc>
        <w:tc>
          <w:tcPr>
            <w:tcW w:w="3543"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1 386,0</w:t>
            </w:r>
          </w:p>
        </w:tc>
      </w:tr>
      <w:tr w:rsidR="00B52DE3">
        <w:tc>
          <w:tcPr>
            <w:tcW w:w="732"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3124"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в том числе:</w:t>
            </w:r>
          </w:p>
        </w:tc>
        <w:tc>
          <w:tcPr>
            <w:tcW w:w="1843" w:type="dxa"/>
            <w:tcBorders>
              <w:top w:val="single" w:sz="4" w:space="0" w:color="000000"/>
              <w:left w:val="single" w:sz="4" w:space="0" w:color="000000"/>
              <w:bottom w:val="single" w:sz="4" w:space="0" w:color="000000"/>
              <w:right w:val="single" w:sz="4" w:space="0" w:color="000000"/>
            </w:tcBorders>
          </w:tcPr>
          <w:p w:rsidR="00B52DE3" w:rsidRDefault="00B52DE3">
            <w:pPr>
              <w:suppressLineNumbers/>
              <w:tabs>
                <w:tab w:val="left" w:pos="1845"/>
              </w:tabs>
              <w:spacing w:after="0" w:line="240" w:lineRule="auto"/>
              <w:jc w:val="center"/>
              <w:rPr>
                <w:rFonts w:ascii="Times New Roman" w:hAnsi="Times New Roman" w:cs="Times New Roman"/>
                <w:sz w:val="28"/>
                <w:szCs w:val="28"/>
              </w:rPr>
            </w:pPr>
          </w:p>
        </w:tc>
        <w:tc>
          <w:tcPr>
            <w:tcW w:w="3543" w:type="dxa"/>
            <w:tcBorders>
              <w:top w:val="single" w:sz="4" w:space="0" w:color="000000"/>
              <w:left w:val="single" w:sz="4" w:space="0" w:color="000000"/>
              <w:bottom w:val="single" w:sz="4" w:space="0" w:color="000000"/>
              <w:right w:val="single" w:sz="4" w:space="0" w:color="000000"/>
            </w:tcBorders>
          </w:tcPr>
          <w:p w:rsidR="00B52DE3" w:rsidRDefault="00B52DE3">
            <w:pPr>
              <w:suppressLineNumbers/>
              <w:tabs>
                <w:tab w:val="left" w:pos="1845"/>
              </w:tabs>
              <w:spacing w:after="0" w:line="240" w:lineRule="auto"/>
              <w:jc w:val="center"/>
              <w:rPr>
                <w:rFonts w:ascii="Times New Roman" w:hAnsi="Times New Roman" w:cs="Times New Roman"/>
                <w:sz w:val="28"/>
                <w:szCs w:val="28"/>
              </w:rPr>
            </w:pPr>
          </w:p>
        </w:tc>
      </w:tr>
      <w:tr w:rsidR="00B52DE3">
        <w:tc>
          <w:tcPr>
            <w:tcW w:w="732"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3124"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ранние зерновые</w:t>
            </w:r>
          </w:p>
        </w:tc>
        <w:tc>
          <w:tcPr>
            <w:tcW w:w="1843"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тонн</w:t>
            </w:r>
          </w:p>
        </w:tc>
        <w:tc>
          <w:tcPr>
            <w:tcW w:w="3543"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216,0</w:t>
            </w:r>
          </w:p>
        </w:tc>
      </w:tr>
      <w:tr w:rsidR="00B52DE3">
        <w:trPr>
          <w:trHeight w:val="225"/>
        </w:trPr>
        <w:tc>
          <w:tcPr>
            <w:tcW w:w="732"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3124"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соя</w:t>
            </w:r>
          </w:p>
        </w:tc>
        <w:tc>
          <w:tcPr>
            <w:tcW w:w="1843"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тонн</w:t>
            </w:r>
          </w:p>
        </w:tc>
        <w:tc>
          <w:tcPr>
            <w:tcW w:w="3543" w:type="dxa"/>
            <w:tcBorders>
              <w:top w:val="single" w:sz="4" w:space="0" w:color="000000"/>
              <w:left w:val="single" w:sz="4" w:space="0" w:color="000000"/>
              <w:bottom w:val="single" w:sz="4" w:space="0" w:color="000000"/>
              <w:right w:val="single" w:sz="4" w:space="0" w:color="000000"/>
            </w:tcBorders>
          </w:tcPr>
          <w:p w:rsidR="00B52DE3" w:rsidRDefault="00DE73E3">
            <w:pPr>
              <w:suppressLineNumbers/>
              <w:tabs>
                <w:tab w:val="left" w:pos="1845"/>
              </w:tabs>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1 169,8</w:t>
            </w:r>
          </w:p>
        </w:tc>
      </w:tr>
      <w:tr w:rsidR="00B52DE3">
        <w:trPr>
          <w:trHeight w:val="180"/>
        </w:trPr>
        <w:tc>
          <w:tcPr>
            <w:tcW w:w="732"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3124" w:type="dxa"/>
            <w:tcBorders>
              <w:top w:val="single" w:sz="4" w:space="0" w:color="000000"/>
              <w:left w:val="single" w:sz="4" w:space="0" w:color="000000"/>
              <w:bottom w:val="single" w:sz="4" w:space="0" w:color="000000"/>
              <w:right w:val="single" w:sz="4" w:space="0" w:color="000000"/>
            </w:tcBorders>
          </w:tcPr>
          <w:p w:rsidR="00B52DE3" w:rsidRDefault="00DE73E3">
            <w:pPr>
              <w:pStyle w:val="afff3"/>
              <w:spacing w:before="0" w:after="0"/>
              <w:jc w:val="center"/>
              <w:rPr>
                <w:rFonts w:ascii="Times New Roman" w:hAnsi="Times New Roman" w:cs="Times New Roman"/>
              </w:rPr>
            </w:pPr>
            <w:r>
              <w:rPr>
                <w:rFonts w:ascii="Times New Roman" w:eastAsia="Times New Roman" w:hAnsi="Times New Roman" w:cs="Times New Roman"/>
                <w:sz w:val="28"/>
                <w:szCs w:val="28"/>
              </w:rPr>
              <w:t>Наименование мероприятия</w:t>
            </w:r>
          </w:p>
        </w:tc>
        <w:tc>
          <w:tcPr>
            <w:tcW w:w="1843" w:type="dxa"/>
            <w:tcBorders>
              <w:top w:val="single" w:sz="4" w:space="0" w:color="000000"/>
              <w:left w:val="single" w:sz="4" w:space="0" w:color="000000"/>
              <w:bottom w:val="single" w:sz="4" w:space="0" w:color="000000"/>
              <w:right w:val="single" w:sz="4" w:space="0" w:color="000000"/>
            </w:tcBorders>
          </w:tcPr>
          <w:p w:rsidR="00B52DE3" w:rsidRDefault="00DE73E3">
            <w:pPr>
              <w:pStyle w:val="afff3"/>
              <w:spacing w:before="0" w:after="0"/>
              <w:jc w:val="center"/>
              <w:rPr>
                <w:rFonts w:ascii="Times New Roman" w:hAnsi="Times New Roman" w:cs="Times New Roman"/>
              </w:rPr>
            </w:pPr>
            <w:r>
              <w:rPr>
                <w:rFonts w:ascii="Times New Roman" w:eastAsia="Times New Roman" w:hAnsi="Times New Roman" w:cs="Times New Roman"/>
                <w:sz w:val="28"/>
                <w:szCs w:val="28"/>
              </w:rPr>
              <w:t>Единица измерения</w:t>
            </w:r>
          </w:p>
        </w:tc>
        <w:tc>
          <w:tcPr>
            <w:tcW w:w="3543" w:type="dxa"/>
            <w:tcBorders>
              <w:top w:val="single" w:sz="4" w:space="0" w:color="000000"/>
              <w:left w:val="single" w:sz="4" w:space="0" w:color="000000"/>
              <w:bottom w:val="single" w:sz="4" w:space="0" w:color="000000"/>
              <w:right w:val="single" w:sz="4" w:space="0" w:color="000000"/>
            </w:tcBorders>
          </w:tcPr>
          <w:p w:rsidR="00B52DE3" w:rsidRDefault="00DE73E3">
            <w:pPr>
              <w:pStyle w:val="afff3"/>
              <w:spacing w:before="0" w:after="0"/>
              <w:jc w:val="center"/>
              <w:rPr>
                <w:rFonts w:ascii="Times New Roman" w:hAnsi="Times New Roman" w:cs="Times New Roman"/>
              </w:rPr>
            </w:pPr>
            <w:r>
              <w:rPr>
                <w:rFonts w:ascii="Times New Roman" w:eastAsia="Times New Roman" w:hAnsi="Times New Roman" w:cs="Times New Roman"/>
                <w:sz w:val="28"/>
                <w:szCs w:val="28"/>
              </w:rPr>
              <w:t>Количество</w:t>
            </w:r>
          </w:p>
        </w:tc>
      </w:tr>
    </w:tbl>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pStyle w:val="afff3"/>
        <w:spacing w:before="0"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2025 году в сфере сельского хозяйства успешно реализован ряд инвестиционных проектов, направленных на развитие агропромышленного комплекса, модернизацию производственной инфраструктуры, повышение эффективности сельскохозяйственного производства и внедрение современных технологий в аграрной отрасли. Реализованные проекты способствуют укреплению продовольственной безопасности, созданию новых рабочих мест и росту инвестиционной привлекательности сельских территорий:</w:t>
      </w:r>
    </w:p>
    <w:p w:rsidR="00B52DE3" w:rsidRDefault="00DE73E3">
      <w:pPr>
        <w:pStyle w:val="afff3"/>
        <w:spacing w:before="0"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1. ИП Глава крестьянского (фермерского) хозяйства </w:t>
      </w:r>
      <w:proofErr w:type="spellStart"/>
      <w:r>
        <w:rPr>
          <w:rFonts w:ascii="Times New Roman" w:eastAsia="Times New Roman" w:hAnsi="Times New Roman" w:cs="Times New Roman"/>
          <w:sz w:val="28"/>
          <w:szCs w:val="28"/>
        </w:rPr>
        <w:t>Войтюк</w:t>
      </w:r>
      <w:proofErr w:type="spellEnd"/>
      <w:r>
        <w:rPr>
          <w:rFonts w:ascii="Times New Roman" w:eastAsia="Times New Roman" w:hAnsi="Times New Roman" w:cs="Times New Roman"/>
          <w:sz w:val="28"/>
          <w:szCs w:val="28"/>
        </w:rPr>
        <w:t xml:space="preserve"> Я.В. (село Степное) проведены работы по установке конвейерной зерносушилки ASM-AGRO-42, Производительность: 42 тонны зерна в час (</w:t>
      </w:r>
      <w:proofErr w:type="spellStart"/>
      <w:r>
        <w:rPr>
          <w:rFonts w:ascii="Times New Roman" w:eastAsia="Times New Roman" w:hAnsi="Times New Roman" w:cs="Times New Roman"/>
          <w:sz w:val="28"/>
          <w:szCs w:val="28"/>
        </w:rPr>
        <w:t>t</w:t>
      </w:r>
      <w:proofErr w:type="spellEnd"/>
      <w:r>
        <w:rPr>
          <w:rFonts w:ascii="Times New Roman" w:eastAsia="Times New Roman" w:hAnsi="Times New Roman" w:cs="Times New Roman"/>
          <w:sz w:val="28"/>
          <w:szCs w:val="28"/>
        </w:rPr>
        <w:t xml:space="preserve">/ч). Мощность и возможности по сушке соответствуют режимам промышленной сушки, обеспечивая переработку ценной товарной продукции в рамках дневной производственной нормы. Потенциальный суточный объём просушки: при восьмичасовом рабочем дне - 336 тонн зерна (42 т/ч × 8 ч). Общая стоимость проекта: 26 000 </w:t>
      </w:r>
      <w:proofErr w:type="spellStart"/>
      <w:r>
        <w:rPr>
          <w:rFonts w:ascii="Times New Roman" w:eastAsia="Times New Roman" w:hAnsi="Times New Roman" w:cs="Times New Roman"/>
          <w:sz w:val="28"/>
          <w:szCs w:val="28"/>
        </w:rPr>
        <w:t>000</w:t>
      </w:r>
      <w:proofErr w:type="spellEnd"/>
      <w:r>
        <w:rPr>
          <w:rFonts w:ascii="Times New Roman" w:eastAsia="Times New Roman" w:hAnsi="Times New Roman" w:cs="Times New Roman"/>
          <w:sz w:val="28"/>
          <w:szCs w:val="28"/>
        </w:rPr>
        <w:t xml:space="preserve"> рублей (26 млн. руб.).</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Цель проекта: повысить технологическую эффективность обработки зерна; обеспечить устойчивую сушильную мощность в пиковые сезоны; улучшить качество зерна за счет точного контроля влажности и параметров сушки; снизить потери при хранении и увеличить рентабельность хозяйства.</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lastRenderedPageBreak/>
        <w:t>2. Общество с ограниченной ответственностью «МИП Прогресс» (село Загородное) успешно реализовало инвестиционный проект по строительству и вводу в эксплуатацию современного животноводческого комплекса. В рамках проекта возведено здание коровника, рассчитанного на содержание 150 голов крупного рогатого скота, а также два здания родильного отделения и телятник на общее поголовье до 500 голов.</w:t>
      </w:r>
      <w:r>
        <w:rPr>
          <w:rFonts w:ascii="Times New Roman" w:eastAsia="Times New Roman" w:hAnsi="Times New Roman" w:cs="Times New Roman"/>
        </w:rPr>
        <w:t xml:space="preserve"> </w:t>
      </w:r>
      <w:r>
        <w:rPr>
          <w:rFonts w:ascii="Times New Roman" w:eastAsia="Times New Roman" w:hAnsi="Times New Roman" w:cs="Times New Roman"/>
          <w:sz w:val="28"/>
          <w:szCs w:val="28"/>
        </w:rPr>
        <w:t>Общий объем инвестиций (капитальных вложений) в реализацию проекта составил 79 324,7 тыс. рублей.</w:t>
      </w:r>
    </w:p>
    <w:p w:rsidR="00B52DE3" w:rsidRDefault="00DE73E3">
      <w:pPr>
        <w:pStyle w:val="afff3"/>
        <w:spacing w:before="0"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3. Общество с ограниченной ответственностью «</w:t>
      </w:r>
      <w:proofErr w:type="spellStart"/>
      <w:r>
        <w:rPr>
          <w:rFonts w:ascii="Times New Roman" w:eastAsia="Times New Roman" w:hAnsi="Times New Roman" w:cs="Times New Roman"/>
          <w:sz w:val="28"/>
          <w:szCs w:val="28"/>
        </w:rPr>
        <w:t>Раковское</w:t>
      </w:r>
      <w:proofErr w:type="spellEnd"/>
      <w:r>
        <w:rPr>
          <w:rFonts w:ascii="Times New Roman" w:eastAsia="Times New Roman" w:hAnsi="Times New Roman" w:cs="Times New Roman"/>
          <w:sz w:val="28"/>
          <w:szCs w:val="28"/>
        </w:rPr>
        <w:t xml:space="preserve">» (село </w:t>
      </w:r>
      <w:proofErr w:type="spellStart"/>
      <w:r>
        <w:rPr>
          <w:rFonts w:ascii="Times New Roman" w:eastAsia="Times New Roman" w:hAnsi="Times New Roman" w:cs="Times New Roman"/>
          <w:sz w:val="28"/>
          <w:szCs w:val="28"/>
        </w:rPr>
        <w:t>Раковка</w:t>
      </w:r>
      <w:proofErr w:type="spellEnd"/>
      <w:r>
        <w:rPr>
          <w:rFonts w:ascii="Times New Roman" w:eastAsia="Times New Roman" w:hAnsi="Times New Roman" w:cs="Times New Roman"/>
          <w:sz w:val="28"/>
          <w:szCs w:val="28"/>
        </w:rPr>
        <w:t xml:space="preserve">) приступило к реализации инвестиционного проекта по установке современного зерносушильного комплекса мощностью до 40 тысяч тонн зерна в год. Проект направлен на развитие производственной инфраструктуры предприятия и повышение эффективности </w:t>
      </w:r>
      <w:proofErr w:type="spellStart"/>
      <w:r>
        <w:rPr>
          <w:rFonts w:ascii="Times New Roman" w:eastAsia="Times New Roman" w:hAnsi="Times New Roman" w:cs="Times New Roman"/>
          <w:sz w:val="28"/>
          <w:szCs w:val="28"/>
        </w:rPr>
        <w:t>зернопереработки</w:t>
      </w:r>
      <w:proofErr w:type="spellEnd"/>
      <w:r>
        <w:rPr>
          <w:rFonts w:ascii="Times New Roman" w:eastAsia="Times New Roman" w:hAnsi="Times New Roman" w:cs="Times New Roman"/>
          <w:sz w:val="28"/>
          <w:szCs w:val="28"/>
        </w:rPr>
        <w:t xml:space="preserve"> в хозяйстве. </w:t>
      </w:r>
    </w:p>
    <w:p w:rsidR="00B52DE3" w:rsidRDefault="00DE73E3">
      <w:pPr>
        <w:pStyle w:val="afff3"/>
        <w:spacing w:before="0"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В рамках проекта предусматривается монтаж и </w:t>
      </w:r>
      <w:proofErr w:type="spellStart"/>
      <w:r>
        <w:rPr>
          <w:rFonts w:ascii="Times New Roman" w:eastAsia="Times New Roman" w:hAnsi="Times New Roman" w:cs="Times New Roman"/>
          <w:sz w:val="28"/>
          <w:szCs w:val="28"/>
        </w:rPr>
        <w:t>пусконаладка</w:t>
      </w:r>
      <w:proofErr w:type="spellEnd"/>
      <w:r>
        <w:rPr>
          <w:rFonts w:ascii="Times New Roman" w:eastAsia="Times New Roman" w:hAnsi="Times New Roman" w:cs="Times New Roman"/>
          <w:sz w:val="28"/>
          <w:szCs w:val="28"/>
        </w:rPr>
        <w:t xml:space="preserve"> высокопроизводительного оборудования, обеспечивающего полный цикл послеуборочной обработки зерновых культур - от очистки и сушки до качественного хранения. Использование современных технологических решений позволит существенно снизить потери урожая, повысить качество готовой продукции и обеспечить стабильную работу предприятия вне зависимости от погодных условий. </w:t>
      </w:r>
    </w:p>
    <w:p w:rsidR="00B52DE3" w:rsidRDefault="00DE73E3">
      <w:pPr>
        <w:pStyle w:val="afff3"/>
        <w:spacing w:before="0"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Объем капитальных вложений в реализацию проекта составляет                   1,0 млрд. рублей. Финансирование осуществляется за счет собственных средств предприятия и привлеченных инвестиций.</w:t>
      </w:r>
    </w:p>
    <w:p w:rsidR="00B52DE3" w:rsidRDefault="00DE73E3">
      <w:pPr>
        <w:pStyle w:val="afff3"/>
        <w:spacing w:before="0"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Реализация проекта создаст новые рабочие места, повысит уровень производственной и энергетической независимости хозяйства, а также будет способствовать развитию агропромышленного комплекса региона.</w:t>
      </w:r>
    </w:p>
    <w:p w:rsidR="00B52DE3" w:rsidRDefault="00DE73E3">
      <w:pPr>
        <w:pStyle w:val="Default"/>
        <w:spacing w:line="360" w:lineRule="auto"/>
        <w:jc w:val="both"/>
      </w:pPr>
      <w:r>
        <w:rPr>
          <w:rFonts w:eastAsia="Times New Roman"/>
          <w:sz w:val="28"/>
          <w:szCs w:val="28"/>
        </w:rPr>
        <w:tab/>
        <w:t xml:space="preserve">4. ИП ГК(Ф)Х Пахомова Елена Владимировна (село Алексей-Никольское) построен коровник на 100 голов привязного содержания и </w:t>
      </w:r>
      <w:r>
        <w:rPr>
          <w:rFonts w:eastAsia="Times New Roman"/>
          <w:sz w:val="28"/>
          <w:szCs w:val="28"/>
        </w:rPr>
        <w:lastRenderedPageBreak/>
        <w:t xml:space="preserve">вспомогательных помещений к нему; приобретено оборудования для объекта животноводческого комплекса, предназначенного для производства коровьего молока. Завезено 40 голов нетелей Джерсейской породы (Воронежская область).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Были осуществлены поставки племенного поголовья сельскохозяйственных животных в рамках мероприятий государственной поддержки.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ООО СХПК «</w:t>
      </w:r>
      <w:proofErr w:type="spellStart"/>
      <w:r>
        <w:rPr>
          <w:rFonts w:ascii="Times New Roman" w:eastAsia="Times New Roman" w:hAnsi="Times New Roman" w:cs="Times New Roman"/>
          <w:sz w:val="28"/>
          <w:szCs w:val="28"/>
        </w:rPr>
        <w:t>Эридан</w:t>
      </w:r>
      <w:proofErr w:type="spellEnd"/>
      <w:r>
        <w:rPr>
          <w:rFonts w:ascii="Times New Roman" w:eastAsia="Times New Roman" w:hAnsi="Times New Roman" w:cs="Times New Roman"/>
          <w:sz w:val="28"/>
          <w:szCs w:val="28"/>
        </w:rPr>
        <w:t xml:space="preserve">»: КРС молочного направления породы </w:t>
      </w:r>
      <w:proofErr w:type="spellStart"/>
      <w:r>
        <w:rPr>
          <w:rFonts w:ascii="Times New Roman" w:eastAsia="Times New Roman" w:hAnsi="Times New Roman" w:cs="Times New Roman"/>
          <w:sz w:val="28"/>
          <w:szCs w:val="28"/>
        </w:rPr>
        <w:t>Монбельярд</w:t>
      </w:r>
      <w:proofErr w:type="spellEnd"/>
      <w:r>
        <w:rPr>
          <w:rFonts w:ascii="Times New Roman" w:eastAsia="Times New Roman" w:hAnsi="Times New Roman" w:cs="Times New Roman"/>
          <w:sz w:val="28"/>
          <w:szCs w:val="28"/>
        </w:rPr>
        <w:t xml:space="preserve">: 60 голов завезено из Воронежской области.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К(Ф)Х </w:t>
      </w:r>
      <w:proofErr w:type="spellStart"/>
      <w:r>
        <w:rPr>
          <w:rFonts w:ascii="Times New Roman" w:eastAsia="Times New Roman" w:hAnsi="Times New Roman" w:cs="Times New Roman"/>
          <w:sz w:val="28"/>
          <w:szCs w:val="28"/>
        </w:rPr>
        <w:t>Недзялковский</w:t>
      </w:r>
      <w:proofErr w:type="spellEnd"/>
      <w:r>
        <w:rPr>
          <w:rFonts w:ascii="Times New Roman" w:eastAsia="Times New Roman" w:hAnsi="Times New Roman" w:cs="Times New Roman"/>
          <w:sz w:val="28"/>
          <w:szCs w:val="28"/>
        </w:rPr>
        <w:t xml:space="preserve"> Иван Станиславович: КРС (бычки): 62 головы, овцы: 123 головы. Поставки осуществлены из Забайкальского края.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ООО «</w:t>
      </w:r>
      <w:proofErr w:type="spellStart"/>
      <w:r>
        <w:rPr>
          <w:rFonts w:ascii="Times New Roman" w:eastAsia="Times New Roman" w:hAnsi="Times New Roman" w:cs="Times New Roman"/>
          <w:sz w:val="28"/>
          <w:szCs w:val="28"/>
        </w:rPr>
        <w:t>Раковское</w:t>
      </w:r>
      <w:proofErr w:type="spellEnd"/>
      <w:r>
        <w:rPr>
          <w:rFonts w:ascii="Times New Roman" w:eastAsia="Times New Roman" w:hAnsi="Times New Roman" w:cs="Times New Roman"/>
          <w:sz w:val="28"/>
          <w:szCs w:val="28"/>
        </w:rPr>
        <w:t xml:space="preserve">»: КРС породы </w:t>
      </w:r>
      <w:proofErr w:type="spellStart"/>
      <w:r>
        <w:rPr>
          <w:rFonts w:ascii="Times New Roman" w:eastAsia="Times New Roman" w:hAnsi="Times New Roman" w:cs="Times New Roman"/>
          <w:sz w:val="28"/>
          <w:szCs w:val="28"/>
        </w:rPr>
        <w:t>Голштинская</w:t>
      </w:r>
      <w:proofErr w:type="spellEnd"/>
      <w:r>
        <w:rPr>
          <w:rFonts w:ascii="Times New Roman" w:eastAsia="Times New Roman" w:hAnsi="Times New Roman" w:cs="Times New Roman"/>
          <w:sz w:val="28"/>
          <w:szCs w:val="28"/>
        </w:rPr>
        <w:t xml:space="preserve">: 100 голов завезено из Сахалинской области.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ИП ГК(Ф)Х Ким Евгений Вячеславович: птица 99471 голов завезена из Хабаровского края и Приморского края. </w:t>
      </w:r>
    </w:p>
    <w:p w:rsidR="00B52DE3" w:rsidRDefault="00DE73E3">
      <w:pPr>
        <w:spacing w:line="360" w:lineRule="auto"/>
        <w:ind w:firstLine="708"/>
        <w:contextualSpacing/>
        <w:jc w:val="both"/>
        <w:rPr>
          <w:rFonts w:ascii="Times New Roman" w:hAnsi="Times New Roman" w:cs="Times New Roman"/>
        </w:rPr>
      </w:pPr>
      <w:r>
        <w:rPr>
          <w:rFonts w:ascii="Times New Roman" w:eastAsia="Times New Roman" w:hAnsi="Times New Roman" w:cs="Times New Roman"/>
          <w:sz w:val="28"/>
          <w:szCs w:val="28"/>
        </w:rPr>
        <w:t xml:space="preserve">На территории Уссурийского городского округа Приморского края активно развивается направление - пчеловодство. Всего на территории округа 2557 шт. пчелосемей (ульи), деятельность по пчеловодству ведут 53 пчеловода из них 2 научных учреждения и 3 крестьянских (фермерских) хозяйства.  </w:t>
      </w:r>
    </w:p>
    <w:p w:rsidR="00B52DE3" w:rsidRDefault="00DE73E3">
      <w:pPr>
        <w:spacing w:after="0" w:line="360" w:lineRule="auto"/>
        <w:ind w:firstLine="708"/>
        <w:contextualSpacing/>
        <w:jc w:val="both"/>
        <w:rPr>
          <w:rFonts w:ascii="Times New Roman" w:hAnsi="Times New Roman" w:cs="Times New Roman"/>
        </w:rPr>
      </w:pPr>
      <w:r>
        <w:rPr>
          <w:rFonts w:ascii="Times New Roman" w:eastAsia="Times New Roman" w:hAnsi="Times New Roman" w:cs="Times New Roman"/>
          <w:color w:val="000000"/>
          <w:sz w:val="28"/>
          <w:szCs w:val="28"/>
        </w:rPr>
        <w:t xml:space="preserve">На территории Уссурийского городского округа Приморского края активно развивается направление - пчеловодство. Всего на территории округа 2557 шт. пчелосемей (ульи), деятельность по пчеловодству ведут 53 пчеловода из них 2 научных учреждения и 3 крестьянских (фермерских) хозяйства.  </w:t>
      </w:r>
    </w:p>
    <w:p w:rsidR="00B52DE3" w:rsidRDefault="00DE73E3">
      <w:pPr>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 xml:space="preserve">Отделом сельского хозяйства Управления организовано участие </w:t>
      </w:r>
      <w:proofErr w:type="spellStart"/>
      <w:r>
        <w:rPr>
          <w:rFonts w:ascii="Times New Roman" w:eastAsia="Times New Roman" w:hAnsi="Times New Roman" w:cs="Times New Roman"/>
          <w:sz w:val="28"/>
          <w:szCs w:val="28"/>
        </w:rPr>
        <w:t>сельхозтоваропроизводителей</w:t>
      </w:r>
      <w:proofErr w:type="spellEnd"/>
      <w:r>
        <w:rPr>
          <w:rFonts w:ascii="Times New Roman" w:eastAsia="Times New Roman" w:hAnsi="Times New Roman" w:cs="Times New Roman"/>
          <w:sz w:val="28"/>
          <w:szCs w:val="28"/>
        </w:rPr>
        <w:t xml:space="preserve"> в следующих мероприятиях: </w:t>
      </w:r>
    </w:p>
    <w:p w:rsidR="00B52DE3" w:rsidRDefault="00DE73E3">
      <w:pPr>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lastRenderedPageBreak/>
        <w:t xml:space="preserve">14 февраля 2025 года на базе Федерального научного центра </w:t>
      </w:r>
      <w:proofErr w:type="spellStart"/>
      <w:r>
        <w:rPr>
          <w:rFonts w:ascii="Times New Roman" w:eastAsia="Times New Roman" w:hAnsi="Times New Roman" w:cs="Times New Roman"/>
          <w:sz w:val="28"/>
          <w:szCs w:val="28"/>
        </w:rPr>
        <w:t>агробиотехнологий</w:t>
      </w:r>
      <w:proofErr w:type="spellEnd"/>
      <w:r>
        <w:rPr>
          <w:rFonts w:ascii="Times New Roman" w:eastAsia="Times New Roman" w:hAnsi="Times New Roman" w:cs="Times New Roman"/>
          <w:sz w:val="28"/>
          <w:szCs w:val="28"/>
        </w:rPr>
        <w:t xml:space="preserve"> Дальнего Востока им. А. К. Чайки проведено ежегодное агрономическое совещание </w:t>
      </w:r>
      <w:proofErr w:type="spellStart"/>
      <w:r>
        <w:rPr>
          <w:rStyle w:val="organictextcontentspan"/>
          <w:rFonts w:ascii="Times New Roman" w:eastAsia="Times New Roman" w:hAnsi="Times New Roman" w:cs="Times New Roman"/>
          <w:sz w:val="28"/>
          <w:szCs w:val="28"/>
        </w:rPr>
        <w:t>сельхозтоваропроизводителей</w:t>
      </w:r>
      <w:proofErr w:type="spellEnd"/>
      <w:r>
        <w:rPr>
          <w:rStyle w:val="organictextcontentspan"/>
          <w:rFonts w:ascii="Times New Roman" w:eastAsia="Times New Roman" w:hAnsi="Times New Roman" w:cs="Times New Roman"/>
          <w:sz w:val="28"/>
          <w:szCs w:val="28"/>
        </w:rPr>
        <w:t xml:space="preserve"> </w:t>
      </w:r>
      <w:r>
        <w:rPr>
          <w:rStyle w:val="organictextcontentspan"/>
          <w:rFonts w:ascii="Times New Roman" w:eastAsia="Times New Roman" w:hAnsi="Times New Roman" w:cs="Times New Roman"/>
          <w:bCs/>
          <w:sz w:val="28"/>
          <w:szCs w:val="28"/>
        </w:rPr>
        <w:t>Приморского</w:t>
      </w:r>
      <w:r>
        <w:rPr>
          <w:rStyle w:val="organictextcontentspan"/>
          <w:rFonts w:ascii="Times New Roman" w:eastAsia="Times New Roman" w:hAnsi="Times New Roman" w:cs="Times New Roman"/>
          <w:sz w:val="28"/>
          <w:szCs w:val="28"/>
        </w:rPr>
        <w:t xml:space="preserve"> края.</w:t>
      </w:r>
    </w:p>
    <w:p w:rsidR="00B52DE3" w:rsidRDefault="00DE73E3">
      <w:pPr>
        <w:pStyle w:val="afff3"/>
        <w:spacing w:before="0"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18-19 сентября 2025 года на базе Государственного автономного образовательного учреждения дополнительного профессионального образования ПОУ «Уссурийский агропромышленный колледж» проведено </w:t>
      </w:r>
      <w:proofErr w:type="spellStart"/>
      <w:r>
        <w:rPr>
          <w:rFonts w:ascii="Times New Roman" w:eastAsia="Times New Roman" w:hAnsi="Times New Roman" w:cs="Times New Roman"/>
          <w:sz w:val="28"/>
          <w:szCs w:val="28"/>
        </w:rPr>
        <w:t>конгрессно-выставочное</w:t>
      </w:r>
      <w:proofErr w:type="spellEnd"/>
      <w:r>
        <w:rPr>
          <w:rFonts w:ascii="Times New Roman" w:eastAsia="Times New Roman" w:hAnsi="Times New Roman" w:cs="Times New Roman"/>
          <w:sz w:val="28"/>
          <w:szCs w:val="28"/>
        </w:rPr>
        <w:t xml:space="preserve"> мероприятие - семинар-совещание «День поля - 2025». В рамках мероприятия обеспечено участие 58 сельхозпроизводителей из Уссурийского городского округа Приморского края; проведена презентация перспективных сортов и гибридов сельскохозяйственных культур (соевые и кукурузные культуры) и материалов по схемам защиты растений; фермеры приняли участие в Круглых столах на тему «Влияние изменения климата на возделывание сельскохозяйственных культур и «Путь от </w:t>
      </w:r>
      <w:proofErr w:type="spellStart"/>
      <w:r>
        <w:rPr>
          <w:rFonts w:ascii="Times New Roman" w:eastAsia="Times New Roman" w:hAnsi="Times New Roman" w:cs="Times New Roman"/>
          <w:sz w:val="28"/>
          <w:szCs w:val="28"/>
        </w:rPr>
        <w:t>стартапа</w:t>
      </w:r>
      <w:proofErr w:type="spellEnd"/>
      <w:r>
        <w:rPr>
          <w:rFonts w:ascii="Times New Roman" w:eastAsia="Times New Roman" w:hAnsi="Times New Roman" w:cs="Times New Roman"/>
          <w:sz w:val="28"/>
          <w:szCs w:val="28"/>
        </w:rPr>
        <w:t xml:space="preserve"> к успешному фермерскому бизнесу в Приморском крае»; проведена демонстрация сельскохозяйственной техники и оборудования.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01 августа 2025 года на базе крестьянского (фермерского) хозяйства Морозова Т.А., расположенного в с. </w:t>
      </w:r>
      <w:proofErr w:type="spellStart"/>
      <w:r>
        <w:rPr>
          <w:rFonts w:ascii="Times New Roman" w:eastAsia="Times New Roman" w:hAnsi="Times New Roman" w:cs="Times New Roman"/>
          <w:sz w:val="28"/>
          <w:szCs w:val="28"/>
        </w:rPr>
        <w:t>Фроловка</w:t>
      </w:r>
      <w:proofErr w:type="spellEnd"/>
      <w:r>
        <w:rPr>
          <w:rFonts w:ascii="Times New Roman" w:eastAsia="Times New Roman" w:hAnsi="Times New Roman" w:cs="Times New Roman"/>
          <w:sz w:val="28"/>
          <w:szCs w:val="28"/>
        </w:rPr>
        <w:t xml:space="preserve">, Партизанский муниципальный район Приморского края, проведен производственный семинар-совещание «День картофельного поля». </w:t>
      </w:r>
      <w:r>
        <w:rPr>
          <w:rFonts w:ascii="Times New Roman" w:eastAsia="Times New Roman" w:hAnsi="Times New Roman" w:cs="Times New Roman"/>
          <w:color w:val="000000"/>
          <w:sz w:val="28"/>
          <w:szCs w:val="28"/>
        </w:rPr>
        <w:t>В 2025 году проведено четыре универсальные ярмарки в рамках участия в проекте «Всероссийские ярмарки»:</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06, 07, 08 марта выдано 23 разрешения на участие;</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18, 19 апреля выдано 23 разрешения на участие;</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03, 04 октября выдано 34 разрешения на участие;</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19, 20 декабря выдано 25 разрешений на участие.</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В соответствии с постановлением администрации Уссурийского городского округа Приморского края от 15 июля 2024 года № 3577 «О проведении специализированной сельскохозяйственной (продовольственной) ярмарки» на ярмарочной площадке, расположенной по адресу: город </w:t>
      </w:r>
      <w:r>
        <w:rPr>
          <w:rFonts w:ascii="Times New Roman" w:eastAsia="Times New Roman" w:hAnsi="Times New Roman" w:cs="Times New Roman"/>
          <w:color w:val="000000"/>
          <w:sz w:val="28"/>
          <w:szCs w:val="28"/>
        </w:rPr>
        <w:lastRenderedPageBreak/>
        <w:t>Уссурийск, ул. Горького, 23, торговые места предоставлены 13-ти личным подсобным хозяйствам.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8"/>
          <w:szCs w:val="28"/>
        </w:rPr>
        <w:t>В период работы ярмарки с марта по ноябрь                     2025 года предоставлено 688 мест.</w:t>
      </w:r>
    </w:p>
    <w:p w:rsidR="00B52DE3" w:rsidRDefault="00DE73E3">
      <w:pPr>
        <w:tabs>
          <w:tab w:val="righ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Осуществлялся прием руководителей сельскохозяйственных предприятий и крестьянских (фермерских) хозяйств по вопросам участия в программе «Семейная ферма», «</w:t>
      </w:r>
      <w:proofErr w:type="spellStart"/>
      <w:r>
        <w:rPr>
          <w:rFonts w:ascii="Times New Roman" w:eastAsia="Times New Roman" w:hAnsi="Times New Roman" w:cs="Times New Roman"/>
          <w:sz w:val="28"/>
          <w:szCs w:val="28"/>
        </w:rPr>
        <w:t>Агростартап</w:t>
      </w:r>
      <w:proofErr w:type="spellEnd"/>
      <w:r>
        <w:rPr>
          <w:rFonts w:ascii="Times New Roman" w:eastAsia="Times New Roman" w:hAnsi="Times New Roman" w:cs="Times New Roman"/>
          <w:sz w:val="28"/>
          <w:szCs w:val="28"/>
        </w:rPr>
        <w:t>», проведение агротехнических полевых работ. По результатам проведенной работы в 2025 году одно хозяйство получило грант на развитие крестьянского (фермерского) хозяйства;</w:t>
      </w:r>
    </w:p>
    <w:p w:rsidR="00B52DE3" w:rsidRDefault="00DE73E3">
      <w:pPr>
        <w:tabs>
          <w:tab w:val="righ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осуществлена информационно-консультативная поддержка по получению средств государственной поддержки за 2025 год. По итогам проведённой работы мера государственной поддержки предоставлена                  26 хозяйствам;</w:t>
      </w:r>
    </w:p>
    <w:p w:rsidR="00B52DE3" w:rsidRDefault="00DE73E3">
      <w:pPr>
        <w:tabs>
          <w:tab w:val="righ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принято участие в открытии Единого центра продаж и сервисного обслуживания белорусской техники, с. Михайловка;</w:t>
      </w:r>
    </w:p>
    <w:p w:rsidR="00B52DE3" w:rsidRDefault="00DE73E3">
      <w:pPr>
        <w:tabs>
          <w:tab w:val="righ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принято участие в отчетном собрании-семинаре Пчеловодов Уссурийского городского округа;</w:t>
      </w:r>
    </w:p>
    <w:p w:rsidR="00B52DE3" w:rsidRDefault="00DE73E3">
      <w:pPr>
        <w:tabs>
          <w:tab w:val="right" w:pos="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принято участие в подготовке и проведении межрегиональных командно-штабных учениях по ликвидации очагов высоко патогенного гриппа птиц, которое проводилось на территории Уссурийского городского округа;</w:t>
      </w:r>
    </w:p>
    <w:p w:rsidR="00B52DE3" w:rsidRDefault="00DE73E3">
      <w:pPr>
        <w:tabs>
          <w:tab w:val="right" w:pos="0"/>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принято участие в подготовке к празднику первого меда                              в г. Уссурийске;</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принято участие в </w:t>
      </w:r>
      <w:proofErr w:type="spellStart"/>
      <w:r>
        <w:rPr>
          <w:rFonts w:ascii="Times New Roman" w:eastAsia="Times New Roman" w:hAnsi="Times New Roman" w:cs="Times New Roman"/>
          <w:color w:val="000000"/>
          <w:sz w:val="28"/>
          <w:szCs w:val="28"/>
        </w:rPr>
        <w:t>Бизнес-встрече</w:t>
      </w:r>
      <w:proofErr w:type="spellEnd"/>
      <w:r>
        <w:rPr>
          <w:rFonts w:ascii="Times New Roman" w:eastAsia="Times New Roman" w:hAnsi="Times New Roman" w:cs="Times New Roman"/>
          <w:color w:val="000000"/>
          <w:sz w:val="28"/>
          <w:szCs w:val="28"/>
        </w:rPr>
        <w:t xml:space="preserve"> с предпринимателями г. Уссурийск и близлежащих муниципальных образований.</w:t>
      </w:r>
    </w:p>
    <w:p w:rsidR="00B52DE3" w:rsidRDefault="00DE73E3">
      <w:pPr>
        <w:pStyle w:val="5608"/>
        <w:spacing w:before="0" w:after="0" w:line="360" w:lineRule="auto"/>
        <w:ind w:firstLine="709"/>
        <w:jc w:val="both"/>
      </w:pPr>
      <w:r>
        <w:rPr>
          <w:sz w:val="28"/>
          <w:szCs w:val="28"/>
        </w:rPr>
        <w:t xml:space="preserve">В течение года проводилась работа по проверке внесенных сведений в Единую федеральную информационную систему о землях сельскохозяйственного назначения (ЕФИС ЗСН), предназначенную для обеспечения актуальными и достоверными сведениями о таких землях, </w:t>
      </w:r>
      <w:r>
        <w:rPr>
          <w:sz w:val="28"/>
          <w:szCs w:val="28"/>
        </w:rPr>
        <w:lastRenderedPageBreak/>
        <w:t xml:space="preserve">включая данные об их местоположении, состоянии и фактическом использовании. </w:t>
      </w:r>
      <w:r>
        <w:rPr>
          <w:color w:val="000000"/>
          <w:sz w:val="28"/>
          <w:szCs w:val="28"/>
        </w:rPr>
        <w:t>Подана 521 заявка на создание полей, из них: 480 полей создано; 39 заявок в работе (3 на проверке, 36 отправлены заявителям на доработку); 2 отправлены программой в архив (заявитель перестал работать со своей заявкой - исправлять замечания), подал новую заявку.</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целях реализации мероприятий, предусмотренных Государственной программой эффективного вовлечения в оборот земель сельскохозяйственного назначения и развития мелиоративного комплекса Российской Федерации, утвержденной постановлением Правительства Российской Федерации от 14 мая 2021 года № 731 (далее - Госпрограмма), по исполнению плана мероприятий по проведению кадастровых работ                            в 2025 году на территории Уссурийского городского округа на землях сельскохозяйственного назначения было заключено 2 муниципальных контракта на общую площадь 801 га.</w:t>
      </w:r>
    </w:p>
    <w:p w:rsidR="00B52DE3" w:rsidRDefault="00DE73E3">
      <w:pPr>
        <w:pStyle w:val="afff1"/>
        <w:spacing w:line="360" w:lineRule="auto"/>
        <w:ind w:left="0" w:firstLine="709"/>
        <w:jc w:val="both"/>
      </w:pPr>
      <w:r>
        <w:rPr>
          <w:sz w:val="28"/>
          <w:szCs w:val="28"/>
        </w:rPr>
        <w:t>В результате работ на кадастровый учет поставлено 8 земельных участков.</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В рамках реализации пункта 11 раздела 2 долгосрочного плана комплексного социально-экономического развития Уссурийского городского округа Приморского края, утвержденного Распоряжением Правительства Российской Федерации от 31 июля 2023 года № 2058-р «Об утверждении долгосрочных планов комплексного социально - экономического развития ряда агломераций на период до 2030 года» утверждены дорожные карты по паспортизации и восстановлению мелиоративных систем на </w:t>
      </w:r>
      <w:proofErr w:type="spellStart"/>
      <w:r>
        <w:rPr>
          <w:rFonts w:ascii="Times New Roman" w:eastAsia="Times New Roman" w:hAnsi="Times New Roman" w:cs="Times New Roman"/>
          <w:sz w:val="28"/>
          <w:szCs w:val="28"/>
        </w:rPr>
        <w:t>Алексее-Никольскую</w:t>
      </w:r>
      <w:proofErr w:type="spellEnd"/>
      <w:r>
        <w:rPr>
          <w:rFonts w:ascii="Times New Roman" w:eastAsia="Times New Roman" w:hAnsi="Times New Roman" w:cs="Times New Roman"/>
          <w:sz w:val="28"/>
          <w:szCs w:val="28"/>
        </w:rPr>
        <w:t xml:space="preserve"> ОС № 2, </w:t>
      </w:r>
      <w:proofErr w:type="spellStart"/>
      <w:r>
        <w:rPr>
          <w:rFonts w:ascii="Times New Roman" w:eastAsia="Times New Roman" w:hAnsi="Times New Roman" w:cs="Times New Roman"/>
          <w:sz w:val="28"/>
          <w:szCs w:val="28"/>
        </w:rPr>
        <w:t>Алексее-Никольский</w:t>
      </w:r>
      <w:proofErr w:type="spellEnd"/>
      <w:r>
        <w:rPr>
          <w:rFonts w:ascii="Times New Roman" w:eastAsia="Times New Roman" w:hAnsi="Times New Roman" w:cs="Times New Roman"/>
          <w:sz w:val="28"/>
          <w:szCs w:val="28"/>
        </w:rPr>
        <w:t xml:space="preserve"> овощной участок, </w:t>
      </w:r>
      <w:proofErr w:type="spellStart"/>
      <w:r>
        <w:rPr>
          <w:rFonts w:ascii="Times New Roman" w:eastAsia="Times New Roman" w:hAnsi="Times New Roman" w:cs="Times New Roman"/>
          <w:sz w:val="28"/>
          <w:szCs w:val="28"/>
        </w:rPr>
        <w:t>Коммунаровскую</w:t>
      </w:r>
      <w:proofErr w:type="spellEnd"/>
      <w:r>
        <w:rPr>
          <w:rFonts w:ascii="Times New Roman" w:eastAsia="Times New Roman" w:hAnsi="Times New Roman" w:cs="Times New Roman"/>
          <w:sz w:val="28"/>
          <w:szCs w:val="28"/>
        </w:rPr>
        <w:t xml:space="preserve"> ОС.</w:t>
      </w:r>
    </w:p>
    <w:p w:rsidR="00B52DE3" w:rsidRDefault="00DE73E3">
      <w:pPr>
        <w:pStyle w:val="afff1"/>
        <w:spacing w:line="360" w:lineRule="auto"/>
        <w:ind w:left="0" w:firstLine="709"/>
        <w:jc w:val="both"/>
      </w:pPr>
      <w:r>
        <w:rPr>
          <w:bCs/>
          <w:sz w:val="28"/>
          <w:szCs w:val="28"/>
        </w:rPr>
        <w:t xml:space="preserve">В соответствии с этапами дорожных карт проведены работы по инвентаризации указанных мелиоративных систем, сбору и систематизации сведений о собственниках земельных участков, расположенных в границах систем, а также архивных актов о вводе в эксплуатацию мелиоративных </w:t>
      </w:r>
      <w:r>
        <w:rPr>
          <w:bCs/>
          <w:sz w:val="28"/>
          <w:szCs w:val="28"/>
        </w:rPr>
        <w:lastRenderedPageBreak/>
        <w:t>систем.</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За истекший период 2025 года отделом сельского хозяйства Управления подготовлена следующая информация:</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ответы на межведомственные запросы - 289;</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запросы в Уссурийский отдел </w:t>
      </w:r>
      <w:proofErr w:type="spellStart"/>
      <w:r>
        <w:rPr>
          <w:rFonts w:ascii="Times New Roman" w:eastAsia="Times New Roman" w:hAnsi="Times New Roman" w:cs="Times New Roman"/>
          <w:sz w:val="28"/>
          <w:szCs w:val="28"/>
        </w:rPr>
        <w:t>Росреестра</w:t>
      </w:r>
      <w:proofErr w:type="spellEnd"/>
      <w:r>
        <w:rPr>
          <w:rFonts w:ascii="Times New Roman" w:eastAsia="Times New Roman" w:hAnsi="Times New Roman" w:cs="Times New Roman"/>
          <w:sz w:val="28"/>
          <w:szCs w:val="28"/>
        </w:rPr>
        <w:t xml:space="preserve"> по Приморскому краю - 1264;</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ответы на запросы управлений администрации Уссурийского городского округа Приморского края - 136;</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ответы на обращения граждан, юридических лиц - 82.</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Проведена работа по наполнению информационной системы «</w:t>
      </w:r>
      <w:proofErr w:type="spellStart"/>
      <w:r>
        <w:rPr>
          <w:rFonts w:ascii="Times New Roman" w:eastAsia="Times New Roman" w:hAnsi="Times New Roman" w:cs="Times New Roman"/>
          <w:sz w:val="28"/>
          <w:szCs w:val="28"/>
        </w:rPr>
        <w:t>АгроУправление</w:t>
      </w:r>
      <w:proofErr w:type="spellEnd"/>
      <w:r>
        <w:rPr>
          <w:rFonts w:ascii="Times New Roman" w:eastAsia="Times New Roman" w:hAnsi="Times New Roman" w:cs="Times New Roman"/>
          <w:sz w:val="28"/>
          <w:szCs w:val="28"/>
        </w:rPr>
        <w:t>» актуальными сведениями о ходе сельскохозяйственных работ и противопожарной безопасности на территории Уссурийского городского округа Приморского края. Внесены данные по 30 хозяйствам.</w:t>
      </w:r>
    </w:p>
    <w:p w:rsidR="00B52DE3" w:rsidRDefault="00DE73E3">
      <w:pPr>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2025 году проводилась работа по ведению </w:t>
      </w:r>
      <w:proofErr w:type="spellStart"/>
      <w:r>
        <w:rPr>
          <w:rFonts w:ascii="Times New Roman" w:eastAsia="Times New Roman" w:hAnsi="Times New Roman" w:cs="Times New Roman"/>
          <w:sz w:val="28"/>
          <w:szCs w:val="28"/>
        </w:rPr>
        <w:t>похозяйственных</w:t>
      </w:r>
      <w:proofErr w:type="spellEnd"/>
      <w:r>
        <w:rPr>
          <w:rFonts w:ascii="Times New Roman" w:eastAsia="Times New Roman" w:hAnsi="Times New Roman" w:cs="Times New Roman"/>
          <w:sz w:val="28"/>
          <w:szCs w:val="28"/>
        </w:rPr>
        <w:t xml:space="preserve"> книг и выдаче выписок из </w:t>
      </w:r>
      <w:proofErr w:type="spellStart"/>
      <w:r>
        <w:rPr>
          <w:rFonts w:ascii="Times New Roman" w:eastAsia="Times New Roman" w:hAnsi="Times New Roman" w:cs="Times New Roman"/>
          <w:sz w:val="28"/>
          <w:szCs w:val="28"/>
        </w:rPr>
        <w:t>похозяйственных</w:t>
      </w:r>
      <w:proofErr w:type="spellEnd"/>
      <w:r>
        <w:rPr>
          <w:rFonts w:ascii="Times New Roman" w:eastAsia="Times New Roman" w:hAnsi="Times New Roman" w:cs="Times New Roman"/>
          <w:sz w:val="28"/>
          <w:szCs w:val="28"/>
        </w:rPr>
        <w:t xml:space="preserve"> книг по запросам членов личных подсобных хозяйств в соответствии с приказом Минсельхоза России                           от 27 сентября 2022 года № 629 «Об утверждении формы и порядка ведения </w:t>
      </w:r>
      <w:proofErr w:type="spellStart"/>
      <w:r>
        <w:rPr>
          <w:rFonts w:ascii="Times New Roman" w:eastAsia="Times New Roman" w:hAnsi="Times New Roman" w:cs="Times New Roman"/>
          <w:sz w:val="28"/>
          <w:szCs w:val="28"/>
        </w:rPr>
        <w:t>похозяйственных</w:t>
      </w:r>
      <w:proofErr w:type="spellEnd"/>
      <w:r>
        <w:rPr>
          <w:rFonts w:ascii="Times New Roman" w:eastAsia="Times New Roman" w:hAnsi="Times New Roman" w:cs="Times New Roman"/>
          <w:sz w:val="28"/>
          <w:szCs w:val="28"/>
        </w:rPr>
        <w:t xml:space="preserve"> книг». За отчетный период в рамках предоставления данной муниципальной услуги по заявлениям граждан было выдано                      255 выписки из </w:t>
      </w:r>
      <w:proofErr w:type="spellStart"/>
      <w:r>
        <w:rPr>
          <w:rFonts w:ascii="Times New Roman" w:eastAsia="Times New Roman" w:hAnsi="Times New Roman" w:cs="Times New Roman"/>
          <w:sz w:val="28"/>
          <w:szCs w:val="28"/>
        </w:rPr>
        <w:t>похозяйственных</w:t>
      </w:r>
      <w:proofErr w:type="spellEnd"/>
      <w:r>
        <w:rPr>
          <w:rFonts w:ascii="Times New Roman" w:eastAsia="Times New Roman" w:hAnsi="Times New Roman" w:cs="Times New Roman"/>
          <w:sz w:val="28"/>
          <w:szCs w:val="28"/>
        </w:rPr>
        <w:t xml:space="preserve"> книг для оформления земельных участков в собственность, осуществления торговли сельхозпродукцией.</w:t>
      </w:r>
    </w:p>
    <w:p w:rsidR="00B52DE3" w:rsidRDefault="00B52DE3">
      <w:pPr>
        <w:spacing w:after="0" w:line="360" w:lineRule="auto"/>
        <w:jc w:val="both"/>
        <w:rPr>
          <w:rFonts w:ascii="Times New Roman" w:hAnsi="Times New Roman" w:cs="Times New Roman"/>
        </w:rPr>
      </w:pPr>
    </w:p>
    <w:p w:rsidR="00B52DE3" w:rsidRDefault="00DE73E3">
      <w:pPr>
        <w:pStyle w:val="2f6"/>
        <w:keepNext w:val="0"/>
        <w:spacing w:before="0" w:line="240" w:lineRule="auto"/>
        <w:ind w:left="0"/>
      </w:pPr>
      <w:bookmarkStart w:id="113" w:name="_Toc102"/>
      <w:r>
        <w:t xml:space="preserve">Содействие развитию малого и среднего предпринимательства </w:t>
      </w:r>
      <w:bookmarkEnd w:id="113"/>
    </w:p>
    <w:p w:rsidR="00B52DE3" w:rsidRDefault="00B52DE3">
      <w:pPr>
        <w:pStyle w:val="2f6"/>
        <w:keepNext w:val="0"/>
        <w:spacing w:before="0" w:line="240" w:lineRule="auto"/>
        <w:rPr>
          <w:color w:val="212121"/>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В соответствии с Федеральным законом от 06 октября 2003 года № 131 - ФЗ «Об общих признаках организации местного самоуправления в Российской Федерации» одним из вопросов местного значения городского округа является содействие развитию малого и среднего предпринимательства. </w:t>
      </w:r>
    </w:p>
    <w:p w:rsidR="00B52DE3" w:rsidRDefault="00DE73E3">
      <w:pPr>
        <w:pStyle w:val="afff0"/>
        <w:widowControl w:val="0"/>
        <w:spacing w:before="0" w:after="0" w:line="360" w:lineRule="auto"/>
        <w:ind w:firstLine="709"/>
        <w:jc w:val="both"/>
      </w:pPr>
      <w:r>
        <w:rPr>
          <w:rFonts w:eastAsia="Times New Roman"/>
          <w:sz w:val="28"/>
          <w:szCs w:val="28"/>
        </w:rPr>
        <w:t xml:space="preserve">По состоянию на 01 января 2026 года на территории Уссурийского городского округа Приморского края (источник данных – Единый реестр </w:t>
      </w:r>
      <w:r>
        <w:rPr>
          <w:rFonts w:eastAsia="Times New Roman"/>
          <w:sz w:val="28"/>
          <w:szCs w:val="28"/>
        </w:rPr>
        <w:lastRenderedPageBreak/>
        <w:t xml:space="preserve">субъектов малого и среднего предпринимательства, размещенный на официальном сайте Федеральной налоговой службы) осуществляют деятельность 9 969 субъектов  малого и среднего предпринимательства  (далее – субъекты МСП), прирост к 2024 году составил 4,5%, в том числе юридических лиц – 3 132 единиц (31,4%), индивидуальных предпринимателей – 6 837 единиц  (68,6%) – прирост к 2024 году 6,6%.  Основная доля субъектов МСП  сосредоточена в торговле - 4 141 (41,5%), транспортировке и хранении - 1 382 (13,9%), строительстве - 907 (9,1%). </w:t>
      </w:r>
    </w:p>
    <w:p w:rsidR="00B52DE3" w:rsidRDefault="00DE73E3">
      <w:pPr>
        <w:pStyle w:val="afff0"/>
        <w:widowControl w:val="0"/>
        <w:spacing w:before="0" w:after="0" w:line="360" w:lineRule="auto"/>
        <w:ind w:firstLine="709"/>
        <w:jc w:val="both"/>
      </w:pPr>
      <w:r>
        <w:rPr>
          <w:rFonts w:eastAsia="Times New Roman"/>
          <w:sz w:val="28"/>
          <w:szCs w:val="28"/>
        </w:rPr>
        <w:t xml:space="preserve">На начало 2026 года численность физических лиц, не являющихся индивидуальными предпринимателями и применяющих специальный налоговый режим «Налог на профессиональный доход», на территории Уссурийского городского округа Приморского края составила 17,3 тыс.чел. (далее - </w:t>
      </w:r>
      <w:proofErr w:type="spellStart"/>
      <w:r>
        <w:rPr>
          <w:rFonts w:eastAsia="Times New Roman"/>
          <w:sz w:val="28"/>
          <w:szCs w:val="28"/>
        </w:rPr>
        <w:t>самозанятые</w:t>
      </w:r>
      <w:proofErr w:type="spellEnd"/>
      <w:r>
        <w:rPr>
          <w:rFonts w:eastAsia="Times New Roman"/>
          <w:sz w:val="28"/>
          <w:szCs w:val="28"/>
        </w:rPr>
        <w:t>), рост на 120,1% к уровню прошлого года.</w:t>
      </w:r>
    </w:p>
    <w:p w:rsidR="00B52DE3" w:rsidRDefault="00DE73E3">
      <w:pPr>
        <w:pStyle w:val="afff0"/>
        <w:widowControl w:val="0"/>
        <w:spacing w:before="0" w:after="0" w:line="360" w:lineRule="auto"/>
        <w:ind w:firstLine="709"/>
        <w:jc w:val="both"/>
      </w:pPr>
      <w:r>
        <w:rPr>
          <w:rFonts w:eastAsia="Times New Roman"/>
          <w:sz w:val="28"/>
          <w:szCs w:val="28"/>
        </w:rPr>
        <w:t>В рамках исполнения полномочий органов местного самоуправления по вопросам развития малого и среднего предпринимательства, определенных статьей 11  Федерального закона от 24 июля 2007 года № 209-ФЗ «О развитии малого и среднего предпринимательства в Российской Федерации» по созданию условий для развития малого и среднего предпринимательства в 2025 году реализовывались мероприятия муниципальной программы «Содействие развитию малого и среднего предпринимательства на территории Уссурийского городского округа Приморского края» на 2018-2027 годы (далее - муниципальная программа).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рамках муниципальной программы в 2025 году:</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проведено 5 заседаний Совета по улучшению инвестиционного климата и развитию предпринимательства при администрации Уссурийского городского округа Приморского края, 2 из которых – в расширенном составе;</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оказано 265 индивидуальных консультаций субъектам МСП по вопросам финансовой поддержки; развитию деятельности в сфере потребительского рынка; применения норм трудового законодательства при </w:t>
      </w:r>
      <w:r>
        <w:rPr>
          <w:rFonts w:ascii="Times New Roman" w:eastAsia="Times New Roman" w:hAnsi="Times New Roman" w:cs="Times New Roman"/>
          <w:sz w:val="28"/>
          <w:szCs w:val="28"/>
        </w:rPr>
        <w:lastRenderedPageBreak/>
        <w:t>ведении предпринимательской деятельности, градостроительной деятельности и земельным отношениям;</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оказана финансовая поддержка в виде субсидии 3 субъектам малого и среднего предпринимательства на сумму 1000,0 тыс. руб. по трем направлениям:  на возмещение части затрат, связанных с уплатой лизинговых платежей по договору финансовой аренды (лизинга) - 1 субъекту; на возмещение части затрат, связанных с осуществлением деятельности в сфере социального предпринимательства – 2 субъектам;</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опубликовано и размещено в средствах массовой информации 70 публикаций, в том числе на официальном сайте администрации – 39; на телеканале «Телемикс» - 12, на сайте информационного агентства «</w:t>
      </w:r>
      <w:proofErr w:type="spellStart"/>
      <w:r>
        <w:rPr>
          <w:rFonts w:ascii="Times New Roman" w:eastAsia="Times New Roman" w:hAnsi="Times New Roman" w:cs="Times New Roman"/>
          <w:sz w:val="28"/>
          <w:szCs w:val="28"/>
        </w:rPr>
        <w:t>Уссурмедиа</w:t>
      </w:r>
      <w:proofErr w:type="spellEnd"/>
      <w:r>
        <w:rPr>
          <w:rFonts w:ascii="Times New Roman" w:eastAsia="Times New Roman" w:hAnsi="Times New Roman" w:cs="Times New Roman"/>
          <w:sz w:val="28"/>
          <w:szCs w:val="28"/>
        </w:rPr>
        <w:t>» - 19;</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принято участие в 14-ти заседаниях межведомственной комиссии по вопросу предоставления государственной социальной помощи на основании социального контракта, на которых было рассмотрено 30 бизнес-планов по организации предпринимательской деятельности с целью содействия началу осуществления предпринимательской деятельности в качестве индивидуального предпринимателя (физического лица, применяющего специальный налоговый режим «Налог на профессиональный доход»);</w:t>
      </w:r>
    </w:p>
    <w:p w:rsidR="00B52DE3" w:rsidRDefault="00DE73E3">
      <w:pPr>
        <w:widowControl w:val="0"/>
        <w:spacing w:after="0" w:line="360" w:lineRule="auto"/>
        <w:ind w:firstLine="567"/>
        <w:jc w:val="both"/>
        <w:rPr>
          <w:rFonts w:ascii="Times New Roman" w:hAnsi="Times New Roman" w:cs="Times New Roman"/>
        </w:rPr>
      </w:pPr>
      <w:r>
        <w:rPr>
          <w:rFonts w:ascii="Times New Roman" w:eastAsia="Times New Roman" w:hAnsi="Times New Roman" w:cs="Times New Roman"/>
          <w:sz w:val="28"/>
          <w:szCs w:val="28"/>
        </w:rPr>
        <w:t xml:space="preserve">принято участие 2-х сотрудников управления экономического развития в IV предпринимательском форуме Приморского края «Бизнес у моря: новые вызовы и новые смыслы», 3-х сотрудников управления экономического развития - в обучающей программе развития муниципалитетов через </w:t>
      </w:r>
      <w:proofErr w:type="spellStart"/>
      <w:r>
        <w:rPr>
          <w:rFonts w:ascii="Times New Roman" w:eastAsia="Times New Roman" w:hAnsi="Times New Roman" w:cs="Times New Roman"/>
          <w:sz w:val="28"/>
          <w:szCs w:val="28"/>
        </w:rPr>
        <w:t>креативную</w:t>
      </w:r>
      <w:proofErr w:type="spellEnd"/>
      <w:r>
        <w:rPr>
          <w:rFonts w:ascii="Times New Roman" w:eastAsia="Times New Roman" w:hAnsi="Times New Roman" w:cs="Times New Roman"/>
          <w:sz w:val="28"/>
          <w:szCs w:val="28"/>
        </w:rPr>
        <w:t xml:space="preserve"> экономику и местные сообщества «Продюсеры территорий». Организатором мероприятий выступили Правительство Приморского края и центр «Мой бизнес» Приморского края;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оказано содействие в проведении </w:t>
      </w:r>
      <w:proofErr w:type="spellStart"/>
      <w:r>
        <w:rPr>
          <w:rFonts w:ascii="Times New Roman" w:eastAsia="Times New Roman" w:hAnsi="Times New Roman" w:cs="Times New Roman"/>
          <w:sz w:val="28"/>
          <w:szCs w:val="28"/>
        </w:rPr>
        <w:t>бизнес-встречи</w:t>
      </w:r>
      <w:proofErr w:type="spellEnd"/>
      <w:r>
        <w:rPr>
          <w:rFonts w:ascii="Times New Roman" w:eastAsia="Times New Roman" w:hAnsi="Times New Roman" w:cs="Times New Roman"/>
          <w:sz w:val="28"/>
          <w:szCs w:val="28"/>
        </w:rPr>
        <w:t xml:space="preserve"> с предпринимателями Уссурийского городского округа Приморского края и близлежащих районов, организатор которой - Министерство экономического развития Приморского </w:t>
      </w:r>
      <w:r>
        <w:rPr>
          <w:rFonts w:ascii="Times New Roman" w:eastAsia="Times New Roman" w:hAnsi="Times New Roman" w:cs="Times New Roman"/>
          <w:sz w:val="28"/>
          <w:szCs w:val="28"/>
        </w:rPr>
        <w:lastRenderedPageBreak/>
        <w:t xml:space="preserve">края совместно с АНО «Центр поддержки предпринимательства Приморского края», охват участников - 53 человека. </w:t>
      </w:r>
    </w:p>
    <w:p w:rsidR="00B52DE3" w:rsidRDefault="00DE73E3">
      <w:pPr>
        <w:widowControl w:val="0"/>
        <w:tabs>
          <w:tab w:val="left" w:pos="2651"/>
        </w:tabs>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 2025 году в рамках работы по популяризации социального предпринимательства и вовлечению в него хозяйствующих субъектов   администрацией Уссурийского городского округа Приморского края:</w:t>
      </w:r>
    </w:p>
    <w:p w:rsidR="00B52DE3" w:rsidRDefault="00DE73E3">
      <w:pPr>
        <w:shd w:val="clear" w:color="auto" w:fill="FFFFFF"/>
        <w:tabs>
          <w:tab w:val="left" w:pos="850"/>
          <w:tab w:val="left" w:pos="99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1. Проведено 35 (тридцать пять) индивидуальных консультаций представителям  предпринимательства - потенциальным получателям статуса «социальное предприятие» – по вопросу присвоения и преимуществ получения статуса, действующим социальным предпринимателям – по вопросу финансовой поддержки.</w:t>
      </w:r>
    </w:p>
    <w:p w:rsidR="00B52DE3" w:rsidRDefault="00DE73E3">
      <w:pPr>
        <w:shd w:val="clear" w:color="auto" w:fill="FFFFFF"/>
        <w:tabs>
          <w:tab w:val="left" w:pos="992"/>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2. Оказана информационная поддержка 15 (пятнадцати) заинтересованным субъектам предпринимательской деятельности, потенциальным получателям статуса социального предприятия, для руководства при подготовке пакета документов на получение статуса, путем направления информационных материалов (методических рекомендаций, </w:t>
      </w:r>
      <w:proofErr w:type="spellStart"/>
      <w:r>
        <w:rPr>
          <w:rFonts w:ascii="Times New Roman" w:eastAsia="Times New Roman" w:hAnsi="Times New Roman" w:cs="Times New Roman"/>
          <w:sz w:val="28"/>
          <w:szCs w:val="28"/>
        </w:rPr>
        <w:t>чек-листов</w:t>
      </w:r>
      <w:proofErr w:type="spellEnd"/>
      <w:r>
        <w:rPr>
          <w:rFonts w:ascii="Times New Roman" w:eastAsia="Times New Roman" w:hAnsi="Times New Roman" w:cs="Times New Roman"/>
          <w:sz w:val="28"/>
          <w:szCs w:val="28"/>
        </w:rPr>
        <w:t xml:space="preserve"> с перечнем и алгоритмом подачи документов по каждой из категорий, образцов документов для заполнения с примерами) на адреса их электронной почты.</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3. Организованы и проведены в ГИИС «Электронный бюджет» 2 (два) конкурсных отбора на предоставление субсидий субъектам малого и среднего предпринимательства на возмещение части затрат, связанных с осуществлением деятельности в сфере социального предпринимательства, </w:t>
      </w:r>
      <w:r>
        <w:rPr>
          <w:rFonts w:ascii="Times New Roman" w:eastAsia="Times New Roman" w:hAnsi="Times New Roman" w:cs="Times New Roman"/>
          <w:sz w:val="28"/>
          <w:szCs w:val="28"/>
        </w:rPr>
        <w:t>в результате которых оказана финансовая поддержка 2 (двум) социальным предпринимателям на сумму 700,00 тыс. руб. в виде субсидий на возмещение части затрат, связанных с осуществлением деятельности в сфере социального предпринимательства (в рамках муниципальной программы «Содействие развитию малого и среднего предпринимательства на территории Уссурийского городского округа Приморского края» на 2018-2027 годы)</w:t>
      </w:r>
      <w:r>
        <w:rPr>
          <w:rFonts w:ascii="Times New Roman" w:eastAsia="Times New Roman" w:hAnsi="Times New Roman" w:cs="Times New Roman"/>
          <w:color w:val="000000" w:themeColor="dark1"/>
          <w:sz w:val="28"/>
          <w:szCs w:val="28"/>
        </w:rPr>
        <w:t>.</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lastRenderedPageBreak/>
        <w:t>4. В целях повышения информирования о действующих мерах поддержки о действующих мерах поддержки:</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осуществлен выезд на место ведения предпринимательской деятельности 7 (семи) социальных предпринимателей, в рамках которого доведена до сведения информация о действующих региональных и муниципальных мерах поддержки и бесплатных услугах  для социальных предпринимателей, предоставляемых АНО «Центр поддержки предпринимательства Приморского края», а также в рамках проведения</w:t>
      </w:r>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бизнес-выезда</w:t>
      </w:r>
      <w:proofErr w:type="spellEnd"/>
      <w:r>
        <w:rPr>
          <w:rFonts w:ascii="Times New Roman" w:eastAsia="Times New Roman" w:hAnsi="Times New Roman" w:cs="Times New Roman"/>
          <w:sz w:val="28"/>
          <w:szCs w:val="28"/>
        </w:rPr>
        <w:t xml:space="preserve"> представителей органов исполнительной власти Приморского края, центра «Мой бизнес», иных институтов развития предпринимательства.</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5. В рамках празднования Международного дня социального предпринимательства 28 июня 2025 года в социальных сетях администрации Уссурийского городского округа Приморского края размещен видеоролик с  целью освещения 6 (шести) успешных практик социального предпринимательства на территории Уссурийского городского округа Приморского края, для его популяризации на территории округа.</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6. Проведен общегородской фестиваль «Детская территория», в которой приняли участие 5 (пять) социальных предпринимателей Уссурийского городского округа Приморского края следующих сфер деятельности: образование дополнительное детей и взрослых, предоставление услуг по дневному уходу за детьми, отдых и развлечения, физкультурно-оздоровительная деятельность. Цель фестиваля - повышение социальной активности населения и развития культурной жизни города. </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7. </w:t>
      </w:r>
      <w:r>
        <w:rPr>
          <w:rFonts w:ascii="Times New Roman" w:eastAsia="Times New Roman" w:hAnsi="Times New Roman" w:cs="Times New Roman"/>
          <w:sz w:val="28"/>
          <w:szCs w:val="28"/>
        </w:rPr>
        <w:t> Оказано содействие институтам развития предпринимательства Приморского края в  проведении следующих мероприятий:</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тренинг «Карта развития бизнеса 2026: рост бизнеса через партнерства и </w:t>
      </w:r>
      <w:proofErr w:type="spellStart"/>
      <w:r>
        <w:rPr>
          <w:rFonts w:ascii="Times New Roman" w:eastAsia="Times New Roman" w:hAnsi="Times New Roman" w:cs="Times New Roman"/>
          <w:sz w:val="28"/>
          <w:szCs w:val="28"/>
        </w:rPr>
        <w:t>коллаборации</w:t>
      </w:r>
      <w:proofErr w:type="spellEnd"/>
      <w:r>
        <w:rPr>
          <w:rFonts w:ascii="Times New Roman" w:eastAsia="Times New Roman" w:hAnsi="Times New Roman" w:cs="Times New Roman"/>
          <w:sz w:val="28"/>
          <w:szCs w:val="28"/>
        </w:rPr>
        <w:t>», охват участников - 32 (тридцать два) человека;</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 xml:space="preserve">бизнес-встреча с предпринимателями Уссурийского городского округа Приморского края и близлежащих районов,  охват участников - 53 (пятьдесят три) человека.  </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8. Привлечены к участию в региональной предпринимательской премии «Бизнес у моря», 3 (три) социальных предпринимателя, осуществляющие деятельность на территории Уссурийского городского округа Приморского края, из которых 1 (один) стал победителем в номинации «Знай наших» (ИП Зиновьев Александр Сергеевич, парк ландшафтного дизайна «Морозовский хутор»). </w:t>
      </w:r>
    </w:p>
    <w:p w:rsidR="00B52DE3" w:rsidRDefault="00DE73E3">
      <w:pPr>
        <w:pStyle w:val="afff1"/>
        <w:widowControl/>
        <w:tabs>
          <w:tab w:val="left" w:pos="567"/>
        </w:tabs>
        <w:spacing w:line="360" w:lineRule="auto"/>
        <w:ind w:left="0" w:firstLine="720"/>
        <w:jc w:val="both"/>
      </w:pPr>
      <w:r>
        <w:rPr>
          <w:color w:val="000000" w:themeColor="dark1"/>
          <w:sz w:val="28"/>
          <w:szCs w:val="28"/>
        </w:rPr>
        <w:t>9. Реализовывались мероприятия Дорожной карты «Развитие социального предпринимательства и усл</w:t>
      </w:r>
      <w:r>
        <w:rPr>
          <w:color w:val="000000"/>
          <w:sz w:val="28"/>
          <w:szCs w:val="28"/>
        </w:rPr>
        <w:t>уг в социальной сфере», закрепленные за муниципальными образованиями Приморского края, утвержденной 13 июня 2023 года Губернатором Приморского края О.Н. Кожемяко, Дорожной карты по </w:t>
      </w:r>
      <w:r w:rsidR="002569BF">
        <w:rPr>
          <w:color w:val="000000"/>
          <w:sz w:val="28"/>
          <w:szCs w:val="28"/>
        </w:rPr>
        <w:t xml:space="preserve"> </w:t>
      </w:r>
      <w:r>
        <w:rPr>
          <w:color w:val="000000"/>
          <w:sz w:val="28"/>
          <w:szCs w:val="28"/>
        </w:rPr>
        <w:t>развитию социального предпринимательства в Уссурийском городском округе на период 2024 - 2025 годы, утвержденной 01 октября 2024 года главой Уссурийского городского округа Приморского края Е.Е. Корж.</w:t>
      </w:r>
    </w:p>
    <w:p w:rsidR="00B52DE3" w:rsidRDefault="00DE73E3">
      <w:pPr>
        <w:shd w:val="clear" w:color="auto" w:fill="FFFFFF"/>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По данным Единого реестра субъектов малого и среднего предпринимательства, размещенном на официальном сайте Федеральной налоговой службы, по состоянию на 10 января 2026 года на территории Уссурийского городского округа Приморского края зарегистрировано                          67 субъектов, имеющих статус «социальное предприятие», из которых 40 % осуществляют деятельность по ОКВЭД 85.41 «Образование дополнительное детей и взрослых».</w:t>
      </w:r>
    </w:p>
    <w:p w:rsidR="00B52DE3" w:rsidRDefault="00B52DE3">
      <w:pPr>
        <w:widowControl w:val="0"/>
        <w:spacing w:after="0" w:line="240" w:lineRule="auto"/>
        <w:jc w:val="center"/>
        <w:rPr>
          <w:rFonts w:ascii="Times New Roman" w:hAnsi="Times New Roman" w:cs="Times New Roman"/>
          <w:b/>
          <w:sz w:val="28"/>
          <w:szCs w:val="28"/>
        </w:rPr>
      </w:pPr>
    </w:p>
    <w:p w:rsidR="00B52DE3" w:rsidRDefault="00DE73E3">
      <w:pPr>
        <w:pStyle w:val="2f6"/>
        <w:keepNext w:val="0"/>
        <w:spacing w:before="0"/>
        <w:ind w:left="0"/>
      </w:pPr>
      <w:bookmarkStart w:id="114" w:name="_Toc103"/>
      <w:r>
        <w:t>Инвестиционная деятельность</w:t>
      </w:r>
      <w:bookmarkEnd w:id="114"/>
    </w:p>
    <w:p w:rsidR="00B52DE3" w:rsidRDefault="00B52DE3">
      <w:pPr>
        <w:pStyle w:val="2f6"/>
        <w:keepNext w:val="0"/>
        <w:spacing w:before="0"/>
        <w:ind w:left="0"/>
        <w:rPr>
          <w:spacing w:val="11"/>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В 2025 году деятельность администрации Уссурийского городского округа Приморского края по повышению инвестиционного потенциала </w:t>
      </w:r>
      <w:r>
        <w:rPr>
          <w:rFonts w:ascii="Times New Roman" w:eastAsia="Times New Roman" w:hAnsi="Times New Roman" w:cs="Times New Roman"/>
          <w:color w:val="000000" w:themeColor="dark1"/>
          <w:sz w:val="28"/>
          <w:szCs w:val="28"/>
        </w:rPr>
        <w:lastRenderedPageBreak/>
        <w:t xml:space="preserve">округа была сконцентрирована на функциональном усилении основных инструментов и каналов развития.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 2025 году Уссурийском городском округе Приморского края продолжилась последовательная и скоординированная работа по внедрению «Стандарта деятельности органов местного самоуправления Приморского края по обеспечению благоприятного инвестиционного климата в Приморском крае на территории Уссурийского городского округа Приморского края» (в рамках регионального инвестиционного стандарта 2.0) (далее – Стандарт).</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 рамках реализации Стандарта администрацией Уссурийского городского Приморского края округа в 2025 году были проведены следующие мероприятия: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актуализированы ключевые документы: Инвестиционная стратегия округа на 2024–2026 годы, включая план мероприятий по её реализации, и Инвестиционный профиль округа, содержащий информацию, необходимую инвестору для принятия решения о вложении инвестиций в инвестиционные проекты, реализуемые на территории округа;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организована деятельность муниципального инвестиционного уполномоченного Уссурийского городского округа Приморского края; </w:t>
      </w:r>
    </w:p>
    <w:p w:rsidR="00B52DE3" w:rsidRDefault="00DE73E3">
      <w:pPr>
        <w:pStyle w:val="ConsPlusNormal0"/>
        <w:spacing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обеспечено прохождение обучения (повышения квалификации) сотрудников администрации, включенных в и</w:t>
      </w:r>
      <w:r>
        <w:rPr>
          <w:rFonts w:ascii="Times New Roman" w:eastAsia="Times New Roman" w:hAnsi="Times New Roman" w:cs="Times New Roman"/>
          <w:color w:val="000000" w:themeColor="dark1"/>
          <w:sz w:val="28"/>
          <w:szCs w:val="28"/>
          <w:lang w:eastAsia="en-US"/>
        </w:rPr>
        <w:t>нвестиционную команду Уссурийского городского округа Приморского края, ответственных за оказание содействия в реализации инвестиционных проектов на территории округа и привлечение инвесторов;</w:t>
      </w:r>
    </w:p>
    <w:p w:rsidR="00B52DE3" w:rsidRDefault="00DE73E3">
      <w:pPr>
        <w:pStyle w:val="ConsPlusNormal0"/>
        <w:spacing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в рамках Свода инвестиционных правил Приморского края ведётся работа по оптимизации пяти муниципальных услуг: сокращаются сроки их предоставления и осуществляется перевод в электронный формат. В частности, срок выдачи технических условий на присоединение к местным автодорогам сокращён до 9 календарных дней, а предоставление земельных </w:t>
      </w:r>
      <w:r>
        <w:rPr>
          <w:rFonts w:ascii="Times New Roman" w:eastAsia="Times New Roman" w:hAnsi="Times New Roman" w:cs="Times New Roman"/>
          <w:color w:val="000000" w:themeColor="dark1"/>
          <w:sz w:val="28"/>
          <w:szCs w:val="28"/>
        </w:rPr>
        <w:lastRenderedPageBreak/>
        <w:t>участков государственной или муниципальной собственности через торги теперь занимает не более 7 календарных дней. При этом 72,4 % предусмотренных сводом услуг уже оказываются в электронном виде;</w:t>
      </w:r>
    </w:p>
    <w:p w:rsidR="00B52DE3" w:rsidRDefault="00DE73E3">
      <w:pPr>
        <w:pStyle w:val="ConsPlusNormal0"/>
        <w:spacing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функционирует коллегиальный совещательный орган - Инвестиционный комитет при администрации Уссурийского городского округа Приморского края (далее – Инвестиционный комитет). </w:t>
      </w:r>
      <w:r>
        <w:rPr>
          <w:rFonts w:ascii="Times New Roman" w:eastAsia="Times New Roman" w:hAnsi="Times New Roman" w:cs="Times New Roman"/>
          <w:color w:val="000000" w:themeColor="dark1"/>
          <w:sz w:val="28"/>
          <w:szCs w:val="28"/>
          <w:lang w:eastAsia="en-US"/>
        </w:rPr>
        <w:t>Комитет насчитывает 24 участника, из которых 70,8 % составляют представители бизнеса, деловых и общественных объединений.</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В 2025 году проведено 10 заседаний Инвестиционного комитета, на которых рассмотрено 32 вопроса, связанных с реализацией                                   23 инвестиционных проектов.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Организовано и проведено 47 рабочих встреч и совещаний с субъектами инвестиционной деятельности, на которых выявлялись и обсуждались проблемы, возникающие при реализации инвестиционных проектов и оперативно определись пути  их решения.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Осуществлено 19 выездов на объекты, создаваемые в рамках инвестиционных проектов, реализуемых на территории Уссурийского городского округа.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Обновлен перечень инвестиционных площадок. В 2025 году сформировано 9 новых площадок, 3 из них переданы в аренду инвесторам.  На конец года для реализации инвестиционных проектов на территории Уссурийского городского округа предлагалось 11 инвестиционных площадок, общей площадью 51,32 га.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Актуализирован перечень муниципального имущества предназначенного для предоставления субъектам МСП и организациям, образующим инфраструктуру поддержки субъектов МСП, в который включено 29 объектов.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На регулярной основе обновлялся И</w:t>
      </w:r>
      <w:r>
        <w:rPr>
          <w:rFonts w:ascii="Times New Roman" w:eastAsia="Times New Roman" w:hAnsi="Times New Roman" w:cs="Times New Roman"/>
          <w:iCs/>
          <w:color w:val="000000" w:themeColor="dark1"/>
          <w:sz w:val="28"/>
          <w:szCs w:val="28"/>
        </w:rPr>
        <w:t>нвестиционный</w:t>
      </w:r>
      <w:r>
        <w:rPr>
          <w:rFonts w:ascii="Times New Roman" w:eastAsia="Times New Roman" w:hAnsi="Times New Roman" w:cs="Times New Roman"/>
          <w:color w:val="000000" w:themeColor="dark1"/>
          <w:sz w:val="28"/>
          <w:szCs w:val="28"/>
        </w:rPr>
        <w:t xml:space="preserve"> портал последними новостями и актуальными данными об инвестиционном климате </w:t>
      </w:r>
      <w:r>
        <w:rPr>
          <w:rFonts w:ascii="Times New Roman" w:eastAsia="Times New Roman" w:hAnsi="Times New Roman" w:cs="Times New Roman"/>
          <w:color w:val="000000" w:themeColor="dark1"/>
          <w:sz w:val="28"/>
          <w:szCs w:val="28"/>
        </w:rPr>
        <w:lastRenderedPageBreak/>
        <w:t>на территории округа.</w:t>
      </w:r>
    </w:p>
    <w:p w:rsidR="00B52DE3" w:rsidRDefault="00DE73E3">
      <w:pPr>
        <w:widowControl w:val="0"/>
        <w:spacing w:after="0" w:line="360" w:lineRule="auto"/>
        <w:ind w:firstLine="709"/>
        <w:jc w:val="both"/>
        <w:rPr>
          <w:rFonts w:ascii="Times New Roman" w:eastAsia="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На территории Уссурийского городского округа Приморского края действует два режима территорий с особыми условиями таможенного, налогового и инвестиционного регулирования предпринимательской и инвестиционной деятельности: зона свободного порта Владивосток (далее – СПВ) и территория опережающего развития «Михайловский» (далее – ТОР)</w:t>
      </w:r>
    </w:p>
    <w:p w:rsidR="00B52DE3" w:rsidRDefault="00DE73E3">
      <w:pPr>
        <w:pStyle w:val="1fd"/>
        <w:tabs>
          <w:tab w:val="left" w:pos="0"/>
        </w:tabs>
        <w:spacing w:line="360" w:lineRule="auto"/>
        <w:ind w:left="0" w:firstLine="709"/>
        <w:jc w:val="both"/>
        <w:rPr>
          <w:rFonts w:cs="Times New Roman"/>
          <w:color w:val="000000" w:themeColor="dark1"/>
          <w:sz w:val="28"/>
          <w:szCs w:val="28"/>
        </w:rPr>
      </w:pPr>
      <w:r>
        <w:rPr>
          <w:rFonts w:cs="Times New Roman"/>
          <w:color w:val="000000" w:themeColor="dark1"/>
          <w:sz w:val="28"/>
          <w:szCs w:val="28"/>
        </w:rPr>
        <w:t>На территории Уссурийского городского округа действует два преференциальных режима:</w:t>
      </w:r>
    </w:p>
    <w:p w:rsidR="00B52DE3" w:rsidRDefault="00DE73E3">
      <w:pPr>
        <w:pStyle w:val="1fd"/>
        <w:tabs>
          <w:tab w:val="left" w:pos="0"/>
        </w:tabs>
        <w:spacing w:line="360" w:lineRule="auto"/>
        <w:ind w:left="0" w:firstLine="709"/>
        <w:jc w:val="both"/>
        <w:rPr>
          <w:rFonts w:cs="Times New Roman"/>
          <w:color w:val="000000" w:themeColor="dark1"/>
          <w:sz w:val="28"/>
          <w:szCs w:val="28"/>
        </w:rPr>
      </w:pPr>
      <w:r>
        <w:rPr>
          <w:rFonts w:cs="Times New Roman"/>
          <w:color w:val="000000" w:themeColor="dark1"/>
          <w:sz w:val="28"/>
          <w:szCs w:val="28"/>
        </w:rPr>
        <w:t>свободный порт Владивосток (далее – СПВ);</w:t>
      </w:r>
    </w:p>
    <w:p w:rsidR="00B52DE3" w:rsidRDefault="00DE73E3">
      <w:pPr>
        <w:pStyle w:val="1fd"/>
        <w:tabs>
          <w:tab w:val="left" w:pos="0"/>
        </w:tabs>
        <w:spacing w:line="360" w:lineRule="auto"/>
        <w:ind w:left="0" w:firstLine="709"/>
        <w:jc w:val="both"/>
        <w:rPr>
          <w:rFonts w:cs="Times New Roman"/>
          <w:color w:val="000000" w:themeColor="dark1"/>
          <w:sz w:val="28"/>
          <w:szCs w:val="28"/>
        </w:rPr>
      </w:pPr>
      <w:r>
        <w:rPr>
          <w:rFonts w:cs="Times New Roman"/>
          <w:color w:val="000000" w:themeColor="dark1"/>
          <w:sz w:val="28"/>
          <w:szCs w:val="28"/>
        </w:rPr>
        <w:t>территория опережающего развития «Михайловский» (далее – ТОР «Михайловский»).</w:t>
      </w:r>
    </w:p>
    <w:p w:rsidR="00B52DE3" w:rsidRDefault="00DE73E3">
      <w:pPr>
        <w:pStyle w:val="1fd"/>
        <w:tabs>
          <w:tab w:val="left" w:pos="0"/>
        </w:tabs>
        <w:spacing w:line="360" w:lineRule="auto"/>
        <w:ind w:left="0" w:firstLine="709"/>
        <w:jc w:val="both"/>
        <w:rPr>
          <w:rFonts w:cs="Times New Roman"/>
          <w:color w:val="000000" w:themeColor="dark1"/>
          <w:sz w:val="28"/>
          <w:szCs w:val="28"/>
        </w:rPr>
      </w:pPr>
      <w:r>
        <w:rPr>
          <w:rFonts w:cs="Times New Roman"/>
          <w:color w:val="000000" w:themeColor="dark1"/>
          <w:sz w:val="28"/>
          <w:szCs w:val="28"/>
        </w:rPr>
        <w:t xml:space="preserve">На начало 2026 года </w:t>
      </w:r>
      <w:r>
        <w:rPr>
          <w:rFonts w:eastAsia="Times New Roman" w:cs="Times New Roman"/>
          <w:color w:val="000000" w:themeColor="dark1"/>
          <w:sz w:val="28"/>
          <w:szCs w:val="28"/>
          <w:highlight w:val="white"/>
        </w:rPr>
        <w:t>резидентами преференциальных режимов</w:t>
      </w:r>
      <w:r>
        <w:rPr>
          <w:rFonts w:cs="Times New Roman"/>
          <w:color w:val="000000" w:themeColor="dark1"/>
          <w:sz w:val="28"/>
          <w:szCs w:val="28"/>
        </w:rPr>
        <w:t xml:space="preserve"> в целом на территории округа </w:t>
      </w:r>
      <w:r>
        <w:rPr>
          <w:rFonts w:eastAsia="Times New Roman" w:cs="Times New Roman"/>
          <w:color w:val="000000" w:themeColor="dark1"/>
          <w:sz w:val="28"/>
          <w:szCs w:val="28"/>
          <w:highlight w:val="white"/>
        </w:rPr>
        <w:t>реализуется 148 проектов</w:t>
      </w:r>
      <w:r>
        <w:rPr>
          <w:rFonts w:eastAsia="Times New Roman" w:cs="Times New Roman"/>
          <w:color w:val="000000" w:themeColor="dark1"/>
          <w:sz w:val="28"/>
          <w:szCs w:val="28"/>
        </w:rPr>
        <w:t xml:space="preserve"> </w:t>
      </w:r>
      <w:r>
        <w:rPr>
          <w:rFonts w:cs="Times New Roman"/>
          <w:color w:val="000000" w:themeColor="dark1"/>
          <w:sz w:val="28"/>
          <w:szCs w:val="28"/>
        </w:rPr>
        <w:t>(106,5% к началу 2025 года)</w:t>
      </w:r>
      <w:r>
        <w:rPr>
          <w:rFonts w:eastAsia="Times New Roman" w:cs="Times New Roman"/>
          <w:color w:val="000000" w:themeColor="dark1"/>
          <w:sz w:val="28"/>
          <w:szCs w:val="28"/>
          <w:highlight w:val="white"/>
        </w:rPr>
        <w:t xml:space="preserve">, в том числе: резиденты </w:t>
      </w:r>
      <w:r>
        <w:rPr>
          <w:rFonts w:cs="Times New Roman"/>
          <w:color w:val="000000" w:themeColor="dark1"/>
          <w:sz w:val="28"/>
          <w:szCs w:val="28"/>
        </w:rPr>
        <w:t xml:space="preserve">СПВ - 145, </w:t>
      </w:r>
      <w:r>
        <w:rPr>
          <w:rFonts w:eastAsia="Times New Roman" w:cs="Times New Roman"/>
          <w:color w:val="000000" w:themeColor="dark1"/>
          <w:sz w:val="28"/>
          <w:szCs w:val="28"/>
          <w:highlight w:val="white"/>
        </w:rPr>
        <w:t>ТОР «Михайловский»</w:t>
      </w:r>
      <w:r>
        <w:rPr>
          <w:rFonts w:eastAsia="Times New Roman" w:cs="Times New Roman"/>
          <w:color w:val="000000" w:themeColor="dark1"/>
          <w:sz w:val="28"/>
          <w:szCs w:val="28"/>
        </w:rPr>
        <w:t xml:space="preserve"> - 3</w:t>
      </w:r>
      <w:r>
        <w:rPr>
          <w:rFonts w:cs="Times New Roman"/>
          <w:color w:val="000000" w:themeColor="dark1"/>
          <w:sz w:val="28"/>
          <w:szCs w:val="28"/>
        </w:rPr>
        <w:t xml:space="preserve">. </w:t>
      </w:r>
      <w:r>
        <w:rPr>
          <w:rFonts w:eastAsia="Times New Roman" w:cs="Times New Roman"/>
          <w:color w:val="000000" w:themeColor="dark1"/>
          <w:sz w:val="28"/>
          <w:szCs w:val="28"/>
        </w:rPr>
        <w:t>О</w:t>
      </w:r>
      <w:r>
        <w:rPr>
          <w:rFonts w:eastAsia="Times New Roman" w:cs="Times New Roman"/>
          <w:color w:val="000000" w:themeColor="dark1"/>
          <w:sz w:val="28"/>
          <w:szCs w:val="28"/>
          <w:highlight w:val="white"/>
        </w:rPr>
        <w:t>бщий объем инвестиций по соглашениям составляет – 85,8 млрд. рублей (134,1% к началу 2025 года), в том числе: резиденты СПВ - 74,9 млрд. руб., ТОР «Михайловский» - 10,9 млрд. руб., количество создаваемых рабочих мест - 10 362 (104,7 % к началу 2025 года), в том числе: резиденты СПВ -  9 623, ТОР «Михайловский» - 739.</w:t>
      </w:r>
    </w:p>
    <w:p w:rsidR="00B52DE3" w:rsidRDefault="00DE73E3">
      <w:pPr>
        <w:widowControl w:val="0"/>
        <w:spacing w:after="0" w:line="360" w:lineRule="auto"/>
        <w:ind w:firstLine="709"/>
        <w:jc w:val="both"/>
        <w:rPr>
          <w:rFonts w:ascii="Times New Roman" w:hAnsi="Times New Roman"/>
          <w:sz w:val="28"/>
          <w:szCs w:val="28"/>
        </w:rPr>
      </w:pPr>
      <w:r>
        <w:rPr>
          <w:rFonts w:ascii="Times New Roman" w:hAnsi="Times New Roman"/>
          <w:color w:val="000000" w:themeColor="dark1"/>
          <w:sz w:val="28"/>
          <w:szCs w:val="28"/>
        </w:rPr>
        <w:t>Резиденты СПВ. По состоянию на 01 января 2026 года количество резидентов СПВ, реализующих инвестиционные проекты на территории Уссурийского городского округа Приморского края, достигло 142 (+8).                        В свои проекты резиденты СПВ планируют вложить более 74,9 млрд. рублей (+20,1) и создать более 9 тысяч рабочих мест.</w:t>
      </w:r>
    </w:p>
    <w:p w:rsidR="00B52DE3" w:rsidRDefault="00DE73E3">
      <w:pPr>
        <w:widowControl w:val="0"/>
        <w:tabs>
          <w:tab w:val="left" w:pos="709"/>
        </w:tabs>
        <w:spacing w:after="0" w:line="360" w:lineRule="auto"/>
        <w:ind w:firstLine="709"/>
        <w:jc w:val="both"/>
        <w:rPr>
          <w:rFonts w:ascii="Times New Roman" w:hAnsi="Times New Roman"/>
          <w:color w:val="000000" w:themeColor="dark1"/>
          <w:sz w:val="28"/>
          <w:szCs w:val="28"/>
        </w:rPr>
      </w:pPr>
      <w:r>
        <w:rPr>
          <w:rFonts w:ascii="Times New Roman" w:hAnsi="Times New Roman"/>
          <w:color w:val="000000" w:themeColor="dark1"/>
          <w:sz w:val="28"/>
          <w:szCs w:val="28"/>
        </w:rPr>
        <w:t xml:space="preserve">Основными сферами деятельности резидентов СПВ (по объему инвестиций) являются: </w:t>
      </w:r>
    </w:p>
    <w:p w:rsidR="00B52DE3" w:rsidRDefault="00DE73E3">
      <w:pPr>
        <w:widowControl w:val="0"/>
        <w:tabs>
          <w:tab w:val="left" w:pos="709"/>
        </w:tabs>
        <w:spacing w:after="0" w:line="360" w:lineRule="auto"/>
        <w:ind w:firstLine="709"/>
        <w:jc w:val="both"/>
        <w:rPr>
          <w:rFonts w:ascii="Times New Roman" w:eastAsia="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строительство – 52 резидента, объем заявленных инвестиций -                 58,1 млрд. руб. (77,5 %);</w:t>
      </w:r>
    </w:p>
    <w:p w:rsidR="00B52DE3" w:rsidRDefault="00DE73E3">
      <w:pPr>
        <w:widowControl w:val="0"/>
        <w:tabs>
          <w:tab w:val="left" w:pos="709"/>
        </w:tabs>
        <w:spacing w:after="0" w:line="360" w:lineRule="auto"/>
        <w:ind w:firstLine="709"/>
        <w:jc w:val="both"/>
        <w:rPr>
          <w:rFonts w:ascii="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 xml:space="preserve">водоснабжение; водоотведение, организация сбора и утилизации </w:t>
      </w:r>
      <w:r>
        <w:rPr>
          <w:rFonts w:ascii="Times New Roman" w:eastAsia="Times New Roman" w:hAnsi="Times New Roman" w:cs="Times New Roman"/>
          <w:color w:val="000000" w:themeColor="dark1"/>
          <w:sz w:val="28"/>
          <w:szCs w:val="28"/>
        </w:rPr>
        <w:lastRenderedPageBreak/>
        <w:t>отходов, деятельность по ликвидации загрязнений – 3 резидента, объем заявленных инвестиций - 6,4 млрд. руб. (11,8%);</w:t>
      </w:r>
    </w:p>
    <w:p w:rsidR="00B52DE3" w:rsidRDefault="00DE73E3">
      <w:pPr>
        <w:widowControl w:val="0"/>
        <w:tabs>
          <w:tab w:val="left" w:pos="709"/>
        </w:tabs>
        <w:spacing w:after="0" w:line="360" w:lineRule="auto"/>
        <w:ind w:firstLine="709"/>
        <w:jc w:val="both"/>
        <w:rPr>
          <w:rFonts w:ascii="Times New Roman" w:hAnsi="Times New Roman" w:cs="Times New Roman"/>
          <w:color w:val="000000" w:themeColor="dark1"/>
          <w:sz w:val="28"/>
          <w:szCs w:val="28"/>
        </w:rPr>
      </w:pPr>
      <w:r>
        <w:rPr>
          <w:rFonts w:ascii="Times New Roman" w:eastAsia="Times New Roman" w:hAnsi="Times New Roman" w:cs="Times New Roman"/>
          <w:color w:val="000000" w:themeColor="dark1"/>
          <w:sz w:val="28"/>
          <w:szCs w:val="28"/>
        </w:rPr>
        <w:t>обрабатывающие производства - 36 резидентов, объем заявленных инвестиций - 10,5 млрд</w:t>
      </w:r>
      <w:r w:rsidR="00AA733C">
        <w:rPr>
          <w:rFonts w:ascii="Times New Roman" w:eastAsia="Times New Roman" w:hAnsi="Times New Roman" w:cs="Times New Roman"/>
          <w:color w:val="000000" w:themeColor="dark1"/>
          <w:sz w:val="28"/>
          <w:szCs w:val="28"/>
        </w:rPr>
        <w:t>.</w:t>
      </w:r>
      <w:r>
        <w:rPr>
          <w:rFonts w:ascii="Times New Roman" w:eastAsia="Times New Roman" w:hAnsi="Times New Roman" w:cs="Times New Roman"/>
          <w:color w:val="000000" w:themeColor="dark1"/>
          <w:sz w:val="28"/>
          <w:szCs w:val="28"/>
        </w:rPr>
        <w:t xml:space="preserve"> руб. (14,1%);</w:t>
      </w:r>
    </w:p>
    <w:p w:rsidR="00B52DE3" w:rsidRDefault="00DE73E3">
      <w:pPr>
        <w:widowControl w:val="0"/>
        <w:tabs>
          <w:tab w:val="left" w:pos="709"/>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dark1"/>
          <w:sz w:val="28"/>
          <w:szCs w:val="28"/>
        </w:rPr>
        <w:t>транспортировка и хранение – 26 резидентов, объем заявленных инвестиций - 5,2 млрд. руб. (7,0 %).</w:t>
      </w:r>
    </w:p>
    <w:p w:rsidR="00B52DE3" w:rsidRDefault="00DE73E3">
      <w:pPr>
        <w:widowControl w:val="0"/>
        <w:tabs>
          <w:tab w:val="left" w:pos="709"/>
        </w:tabs>
        <w:spacing w:after="0" w:line="360" w:lineRule="auto"/>
        <w:jc w:val="both"/>
        <w:rPr>
          <w:rFonts w:ascii="Times New Roman" w:hAnsi="Times New Roman"/>
          <w:sz w:val="28"/>
          <w:szCs w:val="28"/>
        </w:rPr>
      </w:pPr>
      <w:r>
        <w:rPr>
          <w:rFonts w:ascii="Times New Roman" w:hAnsi="Times New Roman"/>
          <w:color w:val="000000" w:themeColor="dark1"/>
          <w:sz w:val="28"/>
          <w:szCs w:val="28"/>
        </w:rPr>
        <w:tab/>
        <w:t>В 2025 году был зарегистрирован 27 новый резидент СПВ, что на 28,6 % больше относительно аналогичного периода 2024 года. Преобладающая сфера деятельности - строительство. Также, отмечается рост и по другим показателям резидентов СПВ:</w:t>
      </w:r>
    </w:p>
    <w:p w:rsidR="00B52DE3" w:rsidRDefault="00DE73E3">
      <w:pPr>
        <w:widowControl w:val="0"/>
        <w:spacing w:after="0" w:line="360" w:lineRule="auto"/>
        <w:ind w:firstLine="709"/>
        <w:jc w:val="both"/>
        <w:rPr>
          <w:rFonts w:ascii="Times New Roman" w:hAnsi="Times New Roman"/>
          <w:sz w:val="28"/>
          <w:szCs w:val="28"/>
        </w:rPr>
      </w:pPr>
      <w:r>
        <w:rPr>
          <w:rFonts w:ascii="Times New Roman" w:hAnsi="Times New Roman"/>
          <w:color w:val="000000" w:themeColor="dark1"/>
          <w:sz w:val="28"/>
          <w:szCs w:val="28"/>
        </w:rPr>
        <w:t>объема инвестиционных вложений на 20,1 млрд. руб. (136,7%);</w:t>
      </w:r>
    </w:p>
    <w:p w:rsidR="00B52DE3" w:rsidRDefault="00DE73E3">
      <w:pPr>
        <w:widowControl w:val="0"/>
        <w:spacing w:after="0" w:line="360" w:lineRule="auto"/>
        <w:ind w:firstLine="709"/>
        <w:jc w:val="both"/>
        <w:rPr>
          <w:rFonts w:ascii="Times New Roman" w:hAnsi="Times New Roman"/>
          <w:sz w:val="28"/>
          <w:szCs w:val="28"/>
        </w:rPr>
      </w:pPr>
      <w:r>
        <w:rPr>
          <w:rFonts w:ascii="Times New Roman" w:hAnsi="Times New Roman"/>
          <w:color w:val="000000" w:themeColor="dark1"/>
          <w:sz w:val="28"/>
          <w:szCs w:val="28"/>
        </w:rPr>
        <w:t>количество создания рабочих мест на 408 ед. (104,4%).</w:t>
      </w:r>
    </w:p>
    <w:p w:rsidR="00B52DE3" w:rsidRDefault="00DE73E3">
      <w:pPr>
        <w:widowControl w:val="0"/>
        <w:spacing w:after="0" w:line="360" w:lineRule="auto"/>
        <w:ind w:firstLine="709"/>
        <w:jc w:val="both"/>
        <w:rPr>
          <w:rFonts w:ascii="Times New Roman" w:hAnsi="Times New Roman"/>
          <w:sz w:val="28"/>
          <w:szCs w:val="28"/>
        </w:rPr>
      </w:pPr>
      <w:r>
        <w:rPr>
          <w:rFonts w:ascii="Times New Roman" w:hAnsi="Times New Roman"/>
          <w:color w:val="000000" w:themeColor="dark1"/>
          <w:sz w:val="28"/>
          <w:szCs w:val="28"/>
        </w:rPr>
        <w:t>За период действия Федерального закона № 212-ФЗ на территории Уссурийского городского округа Приморского края реализовано                             65</w:t>
      </w:r>
      <w:r>
        <w:rPr>
          <w:rFonts w:ascii="Times New Roman" w:hAnsi="Times New Roman"/>
          <w:b/>
          <w:color w:val="000000" w:themeColor="dark1"/>
          <w:sz w:val="28"/>
          <w:szCs w:val="28"/>
        </w:rPr>
        <w:t xml:space="preserve"> </w:t>
      </w:r>
      <w:r>
        <w:rPr>
          <w:rFonts w:ascii="Times New Roman" w:hAnsi="Times New Roman"/>
          <w:color w:val="000000" w:themeColor="dark1"/>
          <w:sz w:val="28"/>
          <w:szCs w:val="28"/>
        </w:rPr>
        <w:t>инвестиционных проектов (44,8 % от общего числа проектов подлежащих реализации), в том числе 9 инвестиционных проектов реализовано                           в 2025 году. Резиденты СПВ инвестировали в экономику округа более 16,0 млрд. рублей (что составляет 22,4 % от общего объема инвестиционных вложений), создали 3 898 рабочих места (что составляет 40,5 % от общего числа создаваемых рабочих мест).</w:t>
      </w:r>
    </w:p>
    <w:p w:rsidR="00B52DE3" w:rsidRDefault="00DE73E3">
      <w:pPr>
        <w:widowControl w:val="0"/>
        <w:spacing w:after="0" w:line="360" w:lineRule="auto"/>
        <w:ind w:firstLine="709"/>
        <w:jc w:val="both"/>
        <w:rPr>
          <w:rFonts w:ascii="Times New Roman" w:hAnsi="Times New Roman"/>
          <w:sz w:val="28"/>
          <w:szCs w:val="28"/>
        </w:rPr>
      </w:pPr>
      <w:r>
        <w:rPr>
          <w:rFonts w:ascii="Times New Roman" w:hAnsi="Times New Roman"/>
          <w:color w:val="000000" w:themeColor="dark1"/>
          <w:sz w:val="28"/>
          <w:szCs w:val="28"/>
        </w:rPr>
        <w:t>Основными сферами деятельности реализованных инвестиционных проектов являлись:</w:t>
      </w:r>
    </w:p>
    <w:p w:rsidR="00B52DE3" w:rsidRDefault="00DE73E3">
      <w:pPr>
        <w:widowControl w:val="0"/>
        <w:spacing w:after="0" w:line="360" w:lineRule="auto"/>
        <w:ind w:firstLine="709"/>
        <w:jc w:val="both"/>
        <w:rPr>
          <w:rFonts w:ascii="Times New Roman" w:hAnsi="Times New Roman"/>
          <w:sz w:val="28"/>
          <w:szCs w:val="28"/>
        </w:rPr>
      </w:pPr>
      <w:r>
        <w:rPr>
          <w:rFonts w:ascii="Times New Roman" w:hAnsi="Times New Roman"/>
          <w:color w:val="000000" w:themeColor="dark1"/>
          <w:sz w:val="28"/>
          <w:szCs w:val="28"/>
        </w:rPr>
        <w:t>строительство – 22 проекта, 10,4 млрд. руб. вложенных инвестиций (65,0%), 555 созданных рабочих мест (14,2%);</w:t>
      </w:r>
    </w:p>
    <w:p w:rsidR="00B52DE3" w:rsidRDefault="00DE73E3">
      <w:pPr>
        <w:widowControl w:val="0"/>
        <w:spacing w:after="0" w:line="360" w:lineRule="auto"/>
        <w:ind w:firstLine="709"/>
        <w:jc w:val="both"/>
        <w:rPr>
          <w:rFonts w:ascii="Times New Roman" w:hAnsi="Times New Roman"/>
          <w:sz w:val="28"/>
          <w:szCs w:val="28"/>
        </w:rPr>
      </w:pPr>
      <w:r>
        <w:rPr>
          <w:rFonts w:ascii="Times New Roman" w:hAnsi="Times New Roman"/>
          <w:color w:val="000000" w:themeColor="dark1"/>
          <w:sz w:val="28"/>
          <w:szCs w:val="28"/>
        </w:rPr>
        <w:t>обрабатывающее производство – 18 проектов, 2,2 млрд. руб. вложенных инвестиций (13,6%), 2105 созданных рабочих мест (54,0%);</w:t>
      </w:r>
    </w:p>
    <w:p w:rsidR="00B52DE3" w:rsidRDefault="00DE73E3">
      <w:pPr>
        <w:widowControl w:val="0"/>
        <w:spacing w:after="0" w:line="360" w:lineRule="auto"/>
        <w:ind w:firstLine="709"/>
        <w:jc w:val="both"/>
        <w:rPr>
          <w:rFonts w:ascii="Times New Roman" w:hAnsi="Times New Roman"/>
          <w:sz w:val="28"/>
          <w:szCs w:val="28"/>
        </w:rPr>
      </w:pPr>
      <w:r>
        <w:rPr>
          <w:rFonts w:ascii="Times New Roman" w:hAnsi="Times New Roman"/>
          <w:color w:val="000000" w:themeColor="dark1"/>
          <w:sz w:val="28"/>
          <w:szCs w:val="28"/>
        </w:rPr>
        <w:t>транспортировка и хранение – 12 проектов, 3,0 млрд. руб. вложенных инвестиций (18,6%), 553 созданных рабочих мест (14,2%).</w:t>
      </w:r>
    </w:p>
    <w:p w:rsidR="00B52DE3" w:rsidRDefault="00DE73E3">
      <w:pPr>
        <w:widowControl w:val="0"/>
        <w:tabs>
          <w:tab w:val="left" w:pos="709"/>
          <w:tab w:val="left" w:pos="1330"/>
        </w:tabs>
        <w:spacing w:after="0" w:line="360" w:lineRule="auto"/>
        <w:ind w:firstLine="709"/>
        <w:jc w:val="both"/>
        <w:rPr>
          <w:rFonts w:ascii="Times New Roman" w:hAnsi="Times New Roman"/>
          <w:sz w:val="28"/>
          <w:szCs w:val="28"/>
        </w:rPr>
      </w:pPr>
      <w:r>
        <w:rPr>
          <w:rFonts w:ascii="Times New Roman" w:hAnsi="Times New Roman"/>
          <w:color w:val="000000" w:themeColor="dark1"/>
          <w:sz w:val="28"/>
          <w:szCs w:val="28"/>
        </w:rPr>
        <w:t xml:space="preserve">В 2025 году резидентами СПВ реализовано 9 инвестиционных </w:t>
      </w:r>
      <w:r>
        <w:rPr>
          <w:rFonts w:ascii="Times New Roman" w:hAnsi="Times New Roman"/>
          <w:color w:val="000000" w:themeColor="dark1"/>
          <w:sz w:val="28"/>
          <w:szCs w:val="28"/>
        </w:rPr>
        <w:lastRenderedPageBreak/>
        <w:t>проектов, с общим объемом инвестиций 5177,1 млн. руб. (185,7 к 2024 году), создано 468 рабочих мест (увеличение в 3 раза к 2024 году).</w:t>
      </w:r>
    </w:p>
    <w:p w:rsidR="00B52DE3" w:rsidRDefault="00DE73E3">
      <w:pPr>
        <w:widowControl w:val="0"/>
        <w:spacing w:after="0" w:line="360" w:lineRule="auto"/>
        <w:ind w:left="23" w:right="23" w:firstLine="697"/>
        <w:jc w:val="both"/>
        <w:rPr>
          <w:rFonts w:ascii="Times New Roman" w:hAnsi="Times New Roman"/>
          <w:sz w:val="28"/>
          <w:szCs w:val="28"/>
        </w:rPr>
      </w:pPr>
      <w:r>
        <w:rPr>
          <w:rFonts w:ascii="Times New Roman" w:hAnsi="Times New Roman"/>
          <w:color w:val="000000" w:themeColor="dark1"/>
          <w:sz w:val="28"/>
          <w:szCs w:val="28"/>
        </w:rPr>
        <w:t xml:space="preserve">Резиденты ТОР «Михайловский». </w:t>
      </w:r>
      <w:r>
        <w:rPr>
          <w:rFonts w:ascii="Times New Roman" w:hAnsi="Times New Roman"/>
          <w:color w:val="000000" w:themeColor="dark1"/>
          <w:sz w:val="28"/>
          <w:szCs w:val="28"/>
          <w:highlight w:val="white"/>
        </w:rPr>
        <w:t xml:space="preserve">В рамках ТОР «Михайловский» в 2025 году </w:t>
      </w:r>
      <w:r>
        <w:rPr>
          <w:rFonts w:ascii="Times New Roman" w:eastAsia="Times New Roman" w:hAnsi="Times New Roman" w:cs="Times New Roman"/>
          <w:color w:val="000000" w:themeColor="dark1"/>
          <w:sz w:val="28"/>
          <w:szCs w:val="28"/>
        </w:rPr>
        <w:t>реализуется 3 инвестиционных проекта с общим объёмом заявленных инвестиций 10,9  млрд. рублей и планом создания 739 рабочих мест.</w:t>
      </w:r>
    </w:p>
    <w:p w:rsidR="00B52DE3" w:rsidRDefault="00DE73E3">
      <w:pPr>
        <w:spacing w:after="0" w:line="360" w:lineRule="auto"/>
        <w:ind w:left="20" w:right="20" w:firstLine="700"/>
        <w:jc w:val="both"/>
        <w:rPr>
          <w:rFonts w:ascii="Times New Roman" w:hAnsi="Times New Roman"/>
          <w:sz w:val="28"/>
          <w:szCs w:val="28"/>
        </w:rPr>
      </w:pPr>
      <w:r>
        <w:rPr>
          <w:rFonts w:ascii="Times New Roman" w:eastAsia="Times New Roman" w:hAnsi="Times New Roman" w:cs="Times New Roman"/>
          <w:color w:val="000000" w:themeColor="dark1"/>
          <w:sz w:val="28"/>
          <w:szCs w:val="28"/>
          <w:highlight w:val="white"/>
        </w:rPr>
        <w:t>В сентябре 2025 года границы ТОР «Михайловский» были расширены. В рамках Восточного экономического форума подписано соглашение о строительстве кирпичного завода мощностью 30 млн. шт. Объем инвестиций составит 1,69 млрд. рублей, планируется создать 92 рабочих места, ввод объекта в эксплуатацию запланирован на 2029 год, инвестор ООО «Приморский кирпичный завод».</w:t>
      </w:r>
    </w:p>
    <w:p w:rsidR="00B52DE3" w:rsidRDefault="00DE73E3">
      <w:pPr>
        <w:widowControl w:val="0"/>
        <w:spacing w:after="0" w:line="360" w:lineRule="auto"/>
        <w:ind w:left="23" w:right="23" w:firstLine="697"/>
        <w:jc w:val="both"/>
        <w:rPr>
          <w:rFonts w:ascii="Times New Roman" w:hAnsi="Times New Roman"/>
          <w:sz w:val="28"/>
          <w:szCs w:val="28"/>
        </w:rPr>
      </w:pPr>
      <w:r>
        <w:rPr>
          <w:rFonts w:ascii="Times New Roman" w:hAnsi="Times New Roman"/>
          <w:color w:val="000000" w:themeColor="dark1"/>
          <w:sz w:val="28"/>
          <w:szCs w:val="28"/>
          <w:highlight w:val="white"/>
        </w:rPr>
        <w:t>Также, продолжается реализация следующих инвестиционных проектов</w:t>
      </w:r>
      <w:r>
        <w:rPr>
          <w:rFonts w:ascii="Times New Roman" w:hAnsi="Times New Roman"/>
          <w:color w:val="000000" w:themeColor="dark1"/>
          <w:sz w:val="28"/>
          <w:szCs w:val="28"/>
        </w:rPr>
        <w:t>:</w:t>
      </w:r>
    </w:p>
    <w:p w:rsidR="00B52DE3" w:rsidRDefault="00DE73E3">
      <w:pPr>
        <w:widowControl w:val="0"/>
        <w:spacing w:after="0" w:line="360" w:lineRule="auto"/>
        <w:ind w:left="20" w:right="20" w:firstLine="700"/>
        <w:jc w:val="both"/>
        <w:rPr>
          <w:rFonts w:ascii="Times New Roman" w:hAnsi="Times New Roman"/>
          <w:sz w:val="28"/>
          <w:szCs w:val="28"/>
        </w:rPr>
      </w:pPr>
      <w:r>
        <w:rPr>
          <w:rFonts w:ascii="Times New Roman" w:hAnsi="Times New Roman"/>
          <w:color w:val="000000" w:themeColor="dark1"/>
          <w:sz w:val="28"/>
          <w:szCs w:val="28"/>
          <w:highlight w:val="white"/>
        </w:rPr>
        <w:t xml:space="preserve">строительство </w:t>
      </w:r>
      <w:proofErr w:type="spellStart"/>
      <w:r>
        <w:rPr>
          <w:rFonts w:ascii="Times New Roman" w:hAnsi="Times New Roman"/>
          <w:color w:val="000000" w:themeColor="dark1"/>
          <w:sz w:val="28"/>
          <w:szCs w:val="28"/>
          <w:highlight w:val="white"/>
        </w:rPr>
        <w:t>терминально-логистического</w:t>
      </w:r>
      <w:proofErr w:type="spellEnd"/>
      <w:r>
        <w:rPr>
          <w:rFonts w:ascii="Times New Roman" w:hAnsi="Times New Roman"/>
          <w:color w:val="000000" w:themeColor="dark1"/>
          <w:sz w:val="28"/>
          <w:szCs w:val="28"/>
          <w:highlight w:val="white"/>
        </w:rPr>
        <w:t xml:space="preserve"> центра «Приморский», где будет специализироваться перевалка и хранение контейнерных грузов, с планируемым объемом инвестиций 7,2 млрд. рублей, созданием не менее 430 рабочих мест. </w:t>
      </w:r>
      <w:r>
        <w:rPr>
          <w:rFonts w:ascii="Times New Roman" w:hAnsi="Times New Roman"/>
          <w:color w:val="000000" w:themeColor="dark1"/>
          <w:sz w:val="28"/>
          <w:szCs w:val="28"/>
        </w:rPr>
        <w:t xml:space="preserve">Ввод объекта в эксплуатацию запланирован на 2027 год, инвестор </w:t>
      </w:r>
      <w:r>
        <w:rPr>
          <w:rFonts w:ascii="Times New Roman" w:hAnsi="Times New Roman"/>
          <w:color w:val="000000" w:themeColor="dark1"/>
          <w:sz w:val="28"/>
          <w:szCs w:val="28"/>
          <w:highlight w:val="white"/>
        </w:rPr>
        <w:t>ООО «</w:t>
      </w:r>
      <w:proofErr w:type="spellStart"/>
      <w:r>
        <w:rPr>
          <w:rFonts w:ascii="Times New Roman" w:hAnsi="Times New Roman"/>
          <w:color w:val="000000" w:themeColor="dark1"/>
          <w:sz w:val="28"/>
          <w:szCs w:val="28"/>
          <w:highlight w:val="white"/>
        </w:rPr>
        <w:t>Фрейт</w:t>
      </w:r>
      <w:proofErr w:type="spellEnd"/>
      <w:r>
        <w:rPr>
          <w:rFonts w:ascii="Times New Roman" w:hAnsi="Times New Roman"/>
          <w:color w:val="000000" w:themeColor="dark1"/>
          <w:sz w:val="28"/>
          <w:szCs w:val="28"/>
          <w:highlight w:val="white"/>
        </w:rPr>
        <w:t xml:space="preserve"> </w:t>
      </w:r>
      <w:proofErr w:type="spellStart"/>
      <w:r>
        <w:rPr>
          <w:rFonts w:ascii="Times New Roman" w:hAnsi="Times New Roman"/>
          <w:color w:val="000000" w:themeColor="dark1"/>
          <w:sz w:val="28"/>
          <w:szCs w:val="28"/>
          <w:highlight w:val="white"/>
        </w:rPr>
        <w:t>Вилладж</w:t>
      </w:r>
      <w:proofErr w:type="spellEnd"/>
      <w:r>
        <w:rPr>
          <w:rFonts w:ascii="Times New Roman" w:hAnsi="Times New Roman"/>
          <w:color w:val="000000" w:themeColor="dark1"/>
          <w:sz w:val="28"/>
          <w:szCs w:val="28"/>
          <w:highlight w:val="white"/>
        </w:rPr>
        <w:t>»</w:t>
      </w:r>
      <w:r>
        <w:rPr>
          <w:rFonts w:ascii="Times New Roman" w:hAnsi="Times New Roman"/>
          <w:color w:val="000000" w:themeColor="dark1"/>
          <w:sz w:val="28"/>
          <w:szCs w:val="28"/>
        </w:rPr>
        <w:t>;</w:t>
      </w:r>
    </w:p>
    <w:p w:rsidR="00B52DE3" w:rsidRDefault="00DE73E3">
      <w:pPr>
        <w:widowControl w:val="0"/>
        <w:spacing w:after="0" w:line="360" w:lineRule="auto"/>
        <w:ind w:firstLine="709"/>
        <w:jc w:val="both"/>
      </w:pPr>
      <w:r>
        <w:rPr>
          <w:rFonts w:ascii="Times New Roman" w:hAnsi="Times New Roman"/>
          <w:color w:val="000000" w:themeColor="dark1"/>
          <w:sz w:val="28"/>
          <w:szCs w:val="28"/>
        </w:rPr>
        <w:t>с</w:t>
      </w:r>
      <w:r>
        <w:rPr>
          <w:rStyle w:val="af7"/>
          <w:rFonts w:eastAsia="Calibri"/>
          <w:color w:val="000000" w:themeColor="dark1"/>
          <w:sz w:val="28"/>
          <w:szCs w:val="28"/>
          <w:lang w:eastAsia="ru-RU"/>
        </w:rPr>
        <w:t xml:space="preserve">оздание многофункционального сельскохозяйственного комплекса по выращиванию зерновых с использованием линейного элеватора, включающего комплекс хранения, подработки и переработки зерновых культур на территории Приморского края, с планируемым объемом инвестиций более 2,0 млрд. рублей, </w:t>
      </w:r>
      <w:r>
        <w:rPr>
          <w:rFonts w:ascii="Times New Roman" w:hAnsi="Times New Roman"/>
          <w:color w:val="000000" w:themeColor="dark1"/>
          <w:sz w:val="28"/>
          <w:szCs w:val="28"/>
          <w:highlight w:val="white"/>
        </w:rPr>
        <w:t xml:space="preserve">созданием 250 рабочих мест. </w:t>
      </w:r>
      <w:r>
        <w:rPr>
          <w:rFonts w:ascii="Times New Roman" w:eastAsia="Times New Roman" w:hAnsi="Times New Roman"/>
          <w:color w:val="000000" w:themeColor="dark1"/>
          <w:sz w:val="28"/>
          <w:szCs w:val="28"/>
        </w:rPr>
        <w:t xml:space="preserve">Ввод объекта в эксплуатацию запланирован на 2031 год, инвестор </w:t>
      </w:r>
      <w:r>
        <w:rPr>
          <w:rFonts w:ascii="Times New Roman" w:hAnsi="Times New Roman"/>
          <w:color w:val="000000" w:themeColor="dark1"/>
          <w:sz w:val="28"/>
          <w:szCs w:val="28"/>
        </w:rPr>
        <w:t>ООО «Скиф Плюс».</w:t>
      </w:r>
    </w:p>
    <w:p w:rsidR="00B52DE3" w:rsidRDefault="00DE73E3">
      <w:pPr>
        <w:tabs>
          <w:tab w:val="left" w:pos="709"/>
        </w:tabs>
        <w:spacing w:after="0" w:line="360" w:lineRule="auto"/>
        <w:ind w:firstLine="709"/>
        <w:jc w:val="both"/>
        <w:rPr>
          <w:rFonts w:ascii="Times New Roman" w:hAnsi="Times New Roman"/>
          <w:sz w:val="28"/>
          <w:szCs w:val="28"/>
        </w:rPr>
      </w:pPr>
      <w:r>
        <w:rPr>
          <w:rFonts w:ascii="Times New Roman" w:eastAsia="Times New Roman" w:hAnsi="Times New Roman" w:cs="Times New Roman"/>
          <w:color w:val="000000" w:themeColor="dark1"/>
          <w:sz w:val="28"/>
          <w:szCs w:val="28"/>
          <w:highlight w:val="white"/>
        </w:rPr>
        <w:t>Инвесторы, не имеющие статуса резидентов свободного порта Владивосток и ТОР «Михайловский»</w:t>
      </w:r>
      <w:r>
        <w:rPr>
          <w:rFonts w:ascii="Times New Roman" w:eastAsia="Times New Roman" w:hAnsi="Times New Roman"/>
          <w:color w:val="000000" w:themeColor="dark1"/>
          <w:sz w:val="28"/>
          <w:szCs w:val="28"/>
        </w:rPr>
        <w:t xml:space="preserve">. </w:t>
      </w:r>
      <w:r>
        <w:rPr>
          <w:rFonts w:ascii="Times New Roman" w:eastAsia="Times New Roman" w:hAnsi="Times New Roman" w:cs="Times New Roman"/>
          <w:color w:val="000000" w:themeColor="dark1"/>
          <w:sz w:val="28"/>
          <w:szCs w:val="28"/>
          <w:highlight w:val="white"/>
        </w:rPr>
        <w:t xml:space="preserve">На территории Уссурийского городского округа реализуют инвестиционные проекты инвесторы, не </w:t>
      </w:r>
      <w:r>
        <w:rPr>
          <w:rFonts w:ascii="Times New Roman" w:eastAsia="Times New Roman" w:hAnsi="Times New Roman" w:cs="Times New Roman"/>
          <w:color w:val="000000" w:themeColor="dark1"/>
          <w:sz w:val="28"/>
          <w:szCs w:val="28"/>
          <w:highlight w:val="white"/>
        </w:rPr>
        <w:lastRenderedPageBreak/>
        <w:t>имеющие статуса резидентов свободного порта Владивосток и ТОР «Михайловский».  На начало 2026 года в реестре инвестиционных проектов зарегистрировано 16 таких компаний. В свои проекты инвесторы планируют вложить 14,6 млрд. рублей и создать 306 рабочих мест.</w:t>
      </w:r>
    </w:p>
    <w:p w:rsidR="00B52DE3" w:rsidRDefault="00DE73E3">
      <w:pPr>
        <w:tabs>
          <w:tab w:val="left" w:pos="709"/>
        </w:tabs>
        <w:spacing w:after="0" w:line="360" w:lineRule="auto"/>
        <w:ind w:firstLine="709"/>
        <w:jc w:val="both"/>
        <w:rPr>
          <w:rFonts w:ascii="Times New Roman" w:hAnsi="Times New Roman"/>
          <w:sz w:val="28"/>
          <w:szCs w:val="28"/>
        </w:rPr>
      </w:pPr>
      <w:r>
        <w:rPr>
          <w:rFonts w:ascii="Times New Roman" w:eastAsia="Times New Roman" w:hAnsi="Times New Roman" w:cs="Times New Roman"/>
          <w:color w:val="000000" w:themeColor="dark1"/>
          <w:sz w:val="28"/>
          <w:szCs w:val="28"/>
          <w:highlight w:val="white"/>
        </w:rPr>
        <w:t>Основными сферами деятельности инвесторов (по объему инвестиций) являются:</w:t>
      </w:r>
    </w:p>
    <w:p w:rsidR="00B52DE3" w:rsidRDefault="00DE73E3">
      <w:pPr>
        <w:tabs>
          <w:tab w:val="left" w:pos="709"/>
        </w:tabs>
        <w:spacing w:after="0" w:line="360" w:lineRule="auto"/>
        <w:ind w:firstLine="709"/>
        <w:jc w:val="both"/>
        <w:rPr>
          <w:color w:val="000000" w:themeColor="dark1"/>
        </w:rPr>
      </w:pPr>
      <w:r>
        <w:rPr>
          <w:rFonts w:ascii="Times New Roman" w:eastAsia="Times New Roman" w:hAnsi="Times New Roman" w:cs="Times New Roman"/>
          <w:color w:val="000000" w:themeColor="dark1"/>
          <w:sz w:val="28"/>
          <w:szCs w:val="28"/>
          <w:highlight w:val="white"/>
        </w:rPr>
        <w:t>обрабатывающие производства - 1 инвестор, объем заявленных инвестиций - 5,3 млрд. руб. (36,3%).</w:t>
      </w:r>
    </w:p>
    <w:p w:rsidR="00B52DE3" w:rsidRDefault="00DE73E3">
      <w:pPr>
        <w:tabs>
          <w:tab w:val="left" w:pos="709"/>
        </w:tabs>
        <w:spacing w:after="0" w:line="360" w:lineRule="auto"/>
        <w:ind w:firstLine="709"/>
        <w:jc w:val="both"/>
        <w:rPr>
          <w:color w:val="000000" w:themeColor="dark1"/>
        </w:rPr>
      </w:pPr>
      <w:r>
        <w:rPr>
          <w:rFonts w:ascii="Times New Roman" w:eastAsia="Times New Roman" w:hAnsi="Times New Roman" w:cs="Times New Roman"/>
          <w:color w:val="000000" w:themeColor="dark1"/>
          <w:sz w:val="28"/>
          <w:szCs w:val="28"/>
          <w:highlight w:val="white"/>
        </w:rPr>
        <w:t>строительство - 6 инвесторов, объем заявленных инвестиций - 4,7 млрд. руб. (32,2%);</w:t>
      </w:r>
    </w:p>
    <w:p w:rsidR="00B52DE3" w:rsidRDefault="00DE73E3">
      <w:pPr>
        <w:tabs>
          <w:tab w:val="left" w:pos="709"/>
        </w:tabs>
        <w:spacing w:after="0" w:line="360" w:lineRule="auto"/>
        <w:ind w:firstLine="709"/>
        <w:jc w:val="both"/>
        <w:rPr>
          <w:color w:val="000000" w:themeColor="dark1"/>
        </w:rPr>
      </w:pPr>
      <w:r>
        <w:rPr>
          <w:rFonts w:ascii="Times New Roman" w:eastAsia="Times New Roman" w:hAnsi="Times New Roman" w:cs="Times New Roman"/>
          <w:color w:val="000000" w:themeColor="dark1"/>
          <w:sz w:val="28"/>
          <w:szCs w:val="28"/>
          <w:highlight w:val="white"/>
        </w:rPr>
        <w:t>транспортировка и хранение - 3 инвестора, объем заявленных инвестиций - 4,1 млрд. руб. (28,1%).</w:t>
      </w:r>
    </w:p>
    <w:p w:rsidR="00B52DE3" w:rsidRDefault="00DE73E3">
      <w:pPr>
        <w:tabs>
          <w:tab w:val="left" w:pos="709"/>
        </w:tabs>
        <w:spacing w:after="0" w:line="360" w:lineRule="auto"/>
        <w:ind w:firstLine="709"/>
        <w:jc w:val="both"/>
        <w:rPr>
          <w:color w:val="000000" w:themeColor="dark1"/>
        </w:rPr>
      </w:pPr>
      <w:r>
        <w:rPr>
          <w:rFonts w:ascii="Times New Roman" w:eastAsia="Times New Roman" w:hAnsi="Times New Roman" w:cs="Times New Roman"/>
          <w:color w:val="000000" w:themeColor="dark1"/>
          <w:sz w:val="28"/>
          <w:szCs w:val="28"/>
          <w:highlight w:val="white"/>
        </w:rPr>
        <w:t>7 Инвесторам присвоен статус масштабного (приоритетного) инвестиционного проекта Приморского края, в том числе инвестиционным проектам, реализуемым резидентами СПВ ООО СЗ «</w:t>
      </w:r>
      <w:proofErr w:type="spellStart"/>
      <w:r>
        <w:rPr>
          <w:rFonts w:ascii="Times New Roman" w:eastAsia="Times New Roman" w:hAnsi="Times New Roman" w:cs="Times New Roman"/>
          <w:color w:val="000000" w:themeColor="dark1"/>
          <w:sz w:val="28"/>
          <w:szCs w:val="28"/>
          <w:highlight w:val="white"/>
        </w:rPr>
        <w:t>ЦентрСтрой</w:t>
      </w:r>
      <w:proofErr w:type="spellEnd"/>
      <w:r>
        <w:rPr>
          <w:rFonts w:ascii="Times New Roman" w:eastAsia="Times New Roman" w:hAnsi="Times New Roman" w:cs="Times New Roman"/>
          <w:color w:val="000000" w:themeColor="dark1"/>
          <w:sz w:val="28"/>
          <w:szCs w:val="28"/>
          <w:highlight w:val="white"/>
        </w:rPr>
        <w:t xml:space="preserve">»,                        ООО «ОСК 1». Объем заявленных инвестиций по масштабным (приоритетным) проектам Приморского края составляет 22,3 млрд. руб., количество создаваемых рабочих мест - 149. </w:t>
      </w:r>
    </w:p>
    <w:p w:rsidR="00B52DE3" w:rsidRDefault="00DE73E3">
      <w:pPr>
        <w:tabs>
          <w:tab w:val="left" w:pos="709"/>
        </w:tabs>
        <w:spacing w:after="0" w:line="360" w:lineRule="auto"/>
        <w:ind w:firstLine="709"/>
        <w:jc w:val="both"/>
        <w:rPr>
          <w:rFonts w:ascii="Times New Roman" w:eastAsia="Times New Roman" w:hAnsi="Times New Roman" w:cs="Times New Roman"/>
          <w:color w:val="000000" w:themeColor="dark1"/>
          <w:sz w:val="28"/>
          <w:szCs w:val="28"/>
          <w:highlight w:val="white"/>
        </w:rPr>
      </w:pPr>
      <w:r>
        <w:rPr>
          <w:rFonts w:ascii="Times New Roman" w:eastAsia="Times New Roman" w:hAnsi="Times New Roman" w:cs="Times New Roman"/>
          <w:color w:val="000000" w:themeColor="dark1"/>
          <w:sz w:val="28"/>
          <w:szCs w:val="28"/>
          <w:highlight w:val="white"/>
        </w:rPr>
        <w:t>В 2025 году инвестором ООО «</w:t>
      </w:r>
      <w:proofErr w:type="spellStart"/>
      <w:r>
        <w:rPr>
          <w:rFonts w:ascii="Times New Roman" w:eastAsia="Times New Roman" w:hAnsi="Times New Roman" w:cs="Times New Roman"/>
          <w:color w:val="000000" w:themeColor="dark1"/>
          <w:sz w:val="28"/>
          <w:szCs w:val="28"/>
          <w:highlight w:val="white"/>
        </w:rPr>
        <w:t>Трансгаз</w:t>
      </w:r>
      <w:proofErr w:type="spellEnd"/>
      <w:r>
        <w:rPr>
          <w:rFonts w:ascii="Times New Roman" w:eastAsia="Times New Roman" w:hAnsi="Times New Roman" w:cs="Times New Roman"/>
          <w:color w:val="000000" w:themeColor="dark1"/>
          <w:sz w:val="28"/>
          <w:szCs w:val="28"/>
          <w:highlight w:val="white"/>
        </w:rPr>
        <w:t>» реализован масштабный инвестиционный проект Приморского края «Строительство контейнерного терминала для перевалки углеводородных газов», в экономику округа вложено 242,4 млн. руб., создано 22 рабочих места.</w:t>
      </w:r>
    </w:p>
    <w:p w:rsidR="00B52DE3" w:rsidRDefault="00DE73E3">
      <w:pPr>
        <w:pStyle w:val="2f6"/>
        <w:keepNext w:val="0"/>
        <w:spacing w:line="240" w:lineRule="auto"/>
        <w:ind w:left="0"/>
      </w:pPr>
      <w:bookmarkStart w:id="115" w:name="_Toc104"/>
      <w:r>
        <w:t>Взаимодействие органов местного самоуправления с органами территориального общественного самоуправления</w:t>
      </w:r>
      <w:bookmarkEnd w:id="115"/>
    </w:p>
    <w:p w:rsidR="00B52DE3" w:rsidRDefault="00B52DE3">
      <w:pPr>
        <w:pStyle w:val="2f6"/>
        <w:keepNext w:val="0"/>
        <w:spacing w:line="240" w:lineRule="auto"/>
        <w:ind w:left="0"/>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2025 году осуществлялась методическая, консультационная и организационная работа по созданию территориальных общественных самоуправлений (далее - ТОС) в Уссурийском городском округе Приморского края (далее – Уссурийский городской округ). </w:t>
      </w:r>
    </w:p>
    <w:p w:rsidR="00B52DE3" w:rsidRDefault="00DE73E3">
      <w:pPr>
        <w:widowControl w:val="0"/>
        <w:tabs>
          <w:tab w:val="left" w:pos="709"/>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По состоянию на 25 декабря 2025 года количество органов ТОС на территории Уссурийского городского округа составило 39 (АППГ- 35), в том числе, в г. Уссурийске – 31 (АППГ-27), в селах Уссурийского городского округа – 8 (АППГ-7).</w:t>
      </w:r>
    </w:p>
    <w:p w:rsidR="00B52DE3" w:rsidRDefault="00DE73E3">
      <w:pPr>
        <w:widowControl w:val="0"/>
        <w:tabs>
          <w:tab w:val="left" w:pos="709"/>
        </w:tabs>
        <w:spacing w:after="0" w:line="360" w:lineRule="auto"/>
        <w:ind w:firstLine="709"/>
        <w:jc w:val="both"/>
        <w:rPr>
          <w:rFonts w:ascii="Times New Roman" w:hAnsi="Times New Roman" w:cs="Times New Roman"/>
        </w:rPr>
      </w:pPr>
      <w:r>
        <w:rPr>
          <w:noProof/>
          <w:lang w:eastAsia="ru-RU"/>
        </w:rPr>
        <w:drawing>
          <wp:inline distT="0" distB="0" distL="0" distR="0">
            <wp:extent cx="5105400" cy="3209925"/>
            <wp:effectExtent l="0" t="0" r="0" b="0"/>
            <wp:docPr id="13" name="Диаграмма 6" descr="диаграмма"/>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оказано содействие 5 инициативным группам граждан в подготовке ходатайств в Думу Уссурийского городского округа Приморского края о назначении собраний граждан по вопросу создания территориального общественного самоуправления ТОС «Вокзальный», ТОС «Солнечная пол</w:t>
      </w:r>
      <w:r w:rsidR="00846F6A">
        <w:rPr>
          <w:rFonts w:ascii="Times New Roman" w:eastAsia="Times New Roman" w:hAnsi="Times New Roman" w:cs="Times New Roman"/>
          <w:sz w:val="28"/>
          <w:szCs w:val="28"/>
        </w:rPr>
        <w:t>яна», ТОС «Мой дворик», ТОС</w:t>
      </w:r>
      <w:r>
        <w:rPr>
          <w:rFonts w:ascii="Times New Roman" w:eastAsia="Times New Roman" w:hAnsi="Times New Roman" w:cs="Times New Roman"/>
          <w:sz w:val="28"/>
          <w:szCs w:val="28"/>
        </w:rPr>
        <w:t xml:space="preserve"> «Защитник», ТОС «Патриоты».</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отчетном периоде оказано содействие 4 органам ТОС в подготовке документов для государственной регистрации (АППГ-0). В результате 4 ТОС получили статус юридического лица (ОО ТОС «Загородное» Уссурийского городского округа Приморского края», ОО ТОС «Воровского» Уссурийского городского округа Приморского края», ОО ТОС «</w:t>
      </w:r>
      <w:proofErr w:type="spellStart"/>
      <w:r>
        <w:rPr>
          <w:rFonts w:ascii="Times New Roman" w:eastAsia="Times New Roman" w:hAnsi="Times New Roman" w:cs="Times New Roman"/>
          <w:sz w:val="28"/>
          <w:szCs w:val="28"/>
        </w:rPr>
        <w:t>Борисовский</w:t>
      </w:r>
      <w:proofErr w:type="spellEnd"/>
      <w:r>
        <w:rPr>
          <w:rFonts w:ascii="Times New Roman" w:eastAsia="Times New Roman" w:hAnsi="Times New Roman" w:cs="Times New Roman"/>
          <w:sz w:val="28"/>
          <w:szCs w:val="28"/>
        </w:rPr>
        <w:t>» Уссурийского городского округа Приморского края», ОО ТОС «Южный» Уссурийского городского округа Приморского края).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Уставы 4 ТОС зарегистрированы в администрации Уссурийского городского округа (АППГ-2): ТОС «Крейсер», ТОС «Вокзальный», ТОС </w:t>
      </w:r>
      <w:r>
        <w:rPr>
          <w:rFonts w:ascii="Times New Roman" w:eastAsia="Times New Roman" w:hAnsi="Times New Roman" w:cs="Times New Roman"/>
          <w:sz w:val="28"/>
          <w:szCs w:val="28"/>
        </w:rPr>
        <w:lastRenderedPageBreak/>
        <w:t>«Солнечная поляна», ТОС «Мой дворик».</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2025 году проведены 3 рабочие встречи с председателями территориальных общественных самоуправлений по вопросу взаимодействия в решении вопросов местного значения и развития ТОС в Уссурийском городском округе. Рассмотрены следующие вопросы: «О проведении краевого конкурса проектов, инициируемых жителями муниципальных образований Приморского края, по решению вопросов местного значения в целях предоставления победителям конкурса грантов за счет средств краевого бюджета в 2025 году», «Об инициативном </w:t>
      </w:r>
      <w:proofErr w:type="spellStart"/>
      <w:r>
        <w:rPr>
          <w:rFonts w:ascii="Times New Roman" w:eastAsia="Times New Roman" w:hAnsi="Times New Roman" w:cs="Times New Roman"/>
          <w:sz w:val="28"/>
          <w:szCs w:val="28"/>
        </w:rPr>
        <w:t>бюджетировании</w:t>
      </w:r>
      <w:proofErr w:type="spellEnd"/>
      <w:r>
        <w:rPr>
          <w:rFonts w:ascii="Times New Roman" w:eastAsia="Times New Roman" w:hAnsi="Times New Roman" w:cs="Times New Roman"/>
          <w:sz w:val="28"/>
          <w:szCs w:val="28"/>
        </w:rPr>
        <w:t xml:space="preserve"> на территории Уссурийского городского округа», «О Всероссийской просветительской эстафете «Мои финансы», «О проведении смотра-конкурса на лучший орган территориального общественного самоуправления Уссурийского городского округа приморского края в 2025 году»,                            «О соблюдении мер противопожарной безопасности в весенний и осенний пожароопасный период на территории Уссурийского городского округа Приморского края», «Об участии ТОС во Всероссийской </w:t>
      </w:r>
      <w:proofErr w:type="spellStart"/>
      <w:r>
        <w:rPr>
          <w:rFonts w:ascii="Times New Roman" w:eastAsia="Times New Roman" w:hAnsi="Times New Roman" w:cs="Times New Roman"/>
          <w:sz w:val="28"/>
          <w:szCs w:val="28"/>
        </w:rPr>
        <w:t>антинаркотической</w:t>
      </w:r>
      <w:proofErr w:type="spellEnd"/>
      <w:r>
        <w:rPr>
          <w:rFonts w:ascii="Times New Roman" w:eastAsia="Times New Roman" w:hAnsi="Times New Roman" w:cs="Times New Roman"/>
          <w:sz w:val="28"/>
          <w:szCs w:val="28"/>
        </w:rPr>
        <w:t xml:space="preserve"> акции «Сообщи, где торгуют смертью», «Об оказании социальной помощи на основании социального контракта в Приморском крае».</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В 2025 году организовано участие ТОС в краевом конкурсе проектов, инициируемых жителями муниципальных образований Приморского края по решению вопросов местного значения (далее – конкурс).</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На участие в конкурсе в 2025 году поступили заявки 18 ТОС (2023 год - 21, 2022 год – 7, 2024 год- 21), их них 8 проектов стали победителями                    (2022 год - 7, 2023 год – 16, 2024 год- 18) и получили на реализацию проектов средства из бюджета Приморского края на общую сумму 12388308,49 рублей (2024 год –  17658956,95  рублей). </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Причиной снижения количества участников конкурса является изменение условий проведения указанного конкурса (исключено участие инициативных групп граждан, принявших решение о создании ТОС</w:t>
      </w:r>
      <w:bookmarkStart w:id="116" w:name="_GoBack"/>
      <w:bookmarkEnd w:id="116"/>
      <w:r>
        <w:rPr>
          <w:rFonts w:ascii="Times New Roman" w:eastAsia="Times New Roman" w:hAnsi="Times New Roman" w:cs="Times New Roman"/>
          <w:color w:val="000000"/>
          <w:sz w:val="28"/>
          <w:szCs w:val="28"/>
        </w:rPr>
        <w:t>).</w:t>
      </w: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lastRenderedPageBreak/>
        <w:t xml:space="preserve">Таблица 1. Динамика участия ТОС в краевом конкурсе </w:t>
      </w:r>
      <w:proofErr w:type="spellStart"/>
      <w:r>
        <w:rPr>
          <w:rFonts w:ascii="Times New Roman" w:eastAsia="Times New Roman" w:hAnsi="Times New Roman" w:cs="Times New Roman"/>
          <w:sz w:val="28"/>
          <w:szCs w:val="28"/>
        </w:rPr>
        <w:t>грантовых</w:t>
      </w:r>
      <w:proofErr w:type="spellEnd"/>
      <w:r>
        <w:rPr>
          <w:rFonts w:ascii="Times New Roman" w:eastAsia="Times New Roman" w:hAnsi="Times New Roman" w:cs="Times New Roman"/>
          <w:sz w:val="28"/>
          <w:szCs w:val="28"/>
        </w:rPr>
        <w:t xml:space="preserve"> проектов по реализации местных инициатив</w:t>
      </w:r>
    </w:p>
    <w:p w:rsidR="00B52DE3" w:rsidRDefault="00B52DE3">
      <w:pPr>
        <w:widowControl w:val="0"/>
        <w:spacing w:after="0" w:line="360" w:lineRule="auto"/>
        <w:ind w:firstLine="708"/>
        <w:jc w:val="both"/>
        <w:rPr>
          <w:rFonts w:ascii="Times New Roman" w:hAnsi="Times New Roman" w:cs="Times New Roman"/>
        </w:rPr>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 </w:t>
      </w:r>
      <w:r w:rsidR="0094277C" w:rsidRPr="0094277C">
        <w:pict>
          <v:shape id="_x0000_s1027" type="#_x0000_t75" style="position:absolute;left:0;text-align:left;margin-left:0;margin-top:0;width:50pt;height:50pt;z-index:251660800;visibility:hidden;mso-position-horizontal-relative:text;mso-position-vertical-relative:text" filled="t" stroked="t">
            <v:stroke joinstyle="round"/>
            <v:path o:extrusionok="t" gradientshapeok="f" o:connecttype="segments"/>
            <o:lock v:ext="edit" aspectratio="f" selection="t"/>
          </v:shape>
        </w:pict>
      </w:r>
      <w:r w:rsidR="001A5B25">
        <w:pict>
          <v:shape id="_x0000_i1029" type="#_x0000_t75" style="width:373pt;height:125.5pt;mso-wrap-distance-left:0;mso-wrap-distance-top:0;mso-wrap-distance-right:0;mso-wrap-distance-bottom:0">
            <v:imagedata r:id="rId16" o:title=""/>
            <v:path textboxrect="0,0,0,0"/>
          </v:shape>
        </w:pic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Благодаря инициативе граждан, преображается территория Уссурийского городского округа Приморского края: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установлено три детских площадки (г. Уссурийск, ул. Вокзальная дамба, д. 31, ул. Попова, д. 3, ул. Строительная, д. 2;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построена одна спортивная площадка (г. Уссурийск,                                      ул. Промышленная, 3);</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заасфальтированы три придомовые территории (г. Уссурийск,                        ул. Воровского, 151, с. Борисовка, ул. Новая, 5, с. Степное, переулок Школьный, 1);</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создана одна зона отдыха на придомовой территории МКД (г.Уссурийск, ул. Владивостокское шоссе, 109а).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Поддержка органов ТОС осуществлялась в рамках мероприятий муниципальной программы «Развитие информационного общества в Уссурийском городском округе» на 2021-2027 годы.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themeColor="dark1"/>
          <w:sz w:val="28"/>
          <w:szCs w:val="28"/>
        </w:rPr>
        <w:t>Так, на реализацию мероприятий в рамках проекта «Гражданские инициативы» в 2025 году было предусмотрено и освоено 650,00 тыс. рублей, на реализацию мероприятий в рамках проекта «Активные ТОС» было предусмотрено 500,00 тыс. рублей, освоено 454,00 тыс. рублей. Экономия составила 46,00 тыс. рублей.</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 xml:space="preserve">03 апреля и 30 октября 2025 года проведены 2 обучающих семинара «Школа управдома» для председателей ТОС и ТСЖ, рассмотрены </w:t>
      </w:r>
      <w:r>
        <w:rPr>
          <w:rFonts w:ascii="Times New Roman" w:eastAsia="Times New Roman" w:hAnsi="Times New Roman" w:cs="Times New Roman"/>
          <w:sz w:val="28"/>
          <w:szCs w:val="28"/>
        </w:rPr>
        <w:lastRenderedPageBreak/>
        <w:t>следующие вопросы: «Территориальное общественное самоуправление как юридическое лицо» и «Правовые аспекты благоустройства придомовых территорий».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lang w:eastAsia="zh-CN"/>
        </w:rPr>
        <w:t>Проведены два спортивных мероприятия среди территориальных общественных самоуправлений Уссурийского городского округа Приморского края. В спартакиадах приняло участие 10 (АППГ-12) взрослых и 10 (АППГ-12) детских команд. Охват участников составил 100 человек.</w:t>
      </w:r>
    </w:p>
    <w:p w:rsidR="00B52DE3" w:rsidRDefault="00DE73E3">
      <w:pPr>
        <w:shd w:val="clear" w:color="auto" w:fill="FFFFFF"/>
        <w:spacing w:after="0" w:line="360" w:lineRule="auto"/>
        <w:ind w:firstLine="720"/>
        <w:jc w:val="both"/>
        <w:rPr>
          <w:rFonts w:ascii="Times New Roman" w:hAnsi="Times New Roman" w:cs="Times New Roman"/>
        </w:rPr>
      </w:pPr>
      <w:r>
        <w:rPr>
          <w:rFonts w:ascii="Times New Roman" w:eastAsia="Times New Roman" w:hAnsi="Times New Roman" w:cs="Times New Roman"/>
          <w:sz w:val="28"/>
          <w:szCs w:val="28"/>
          <w:lang w:eastAsia="zh-CN"/>
        </w:rPr>
        <w:t>В октябре 2025 года подведены итоги ежегодного смотра-конкурса на лучший орган территориального общественного самоуправления Уссурийского городского округа Приморского края. Победителями смотра-конкурса стали 8 территориальных общественных самоуправлений: ТОС «5-6 км», ТОС «Дуэт», ОО ТОС «Загородное», ТОС «Южно-Слободской», ТОС «Степное», ОО ТОС «</w:t>
      </w:r>
      <w:proofErr w:type="spellStart"/>
      <w:r>
        <w:rPr>
          <w:rFonts w:ascii="Times New Roman" w:eastAsia="Times New Roman" w:hAnsi="Times New Roman" w:cs="Times New Roman"/>
          <w:sz w:val="28"/>
          <w:szCs w:val="28"/>
          <w:lang w:eastAsia="zh-CN"/>
        </w:rPr>
        <w:t>Борисовский</w:t>
      </w:r>
      <w:proofErr w:type="spellEnd"/>
      <w:r>
        <w:rPr>
          <w:rFonts w:ascii="Times New Roman" w:eastAsia="Times New Roman" w:hAnsi="Times New Roman" w:cs="Times New Roman"/>
          <w:sz w:val="28"/>
          <w:szCs w:val="28"/>
          <w:lang w:eastAsia="zh-CN"/>
        </w:rPr>
        <w:t>», ТОС «</w:t>
      </w:r>
      <w:proofErr w:type="spellStart"/>
      <w:r>
        <w:rPr>
          <w:rFonts w:ascii="Times New Roman" w:eastAsia="Times New Roman" w:hAnsi="Times New Roman" w:cs="Times New Roman"/>
          <w:sz w:val="28"/>
          <w:szCs w:val="28"/>
          <w:lang w:eastAsia="zh-CN"/>
        </w:rPr>
        <w:t>Корсаковский</w:t>
      </w:r>
      <w:proofErr w:type="spellEnd"/>
      <w:r>
        <w:rPr>
          <w:rFonts w:ascii="Times New Roman" w:eastAsia="Times New Roman" w:hAnsi="Times New Roman" w:cs="Times New Roman"/>
          <w:sz w:val="28"/>
          <w:szCs w:val="28"/>
          <w:lang w:eastAsia="zh-CN"/>
        </w:rPr>
        <w:t>».</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iCs/>
          <w:sz w:val="28"/>
          <w:szCs w:val="28"/>
        </w:rPr>
        <w:t xml:space="preserve">По итогам деятельности в 2025 году 107 наиболее активных лидеров ТОС и представителей некоммерческих организаций Уссурийского городского округа Приморского края (АППГ- 99) поощрены благодарностями и Почетными грамотами администрации Уссурийского городского округа, 120 участникам мероприятия вручены подарки.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Лучшие практики ТОС Уссурийского городского округа отмечены на краевом форуме общественников «Живем в Приморье. Решаем вместе»                 в г. Владивостоке. За личный вклад в развитие территориального общественного самоуправления в Приморском крае отмечены Почетными грамотами Законодательного Собрания Приморского края председатель совета ОО ТОС «Загородное» Ю.А. </w:t>
      </w:r>
      <w:proofErr w:type="spellStart"/>
      <w:r>
        <w:rPr>
          <w:rFonts w:ascii="Times New Roman" w:eastAsia="Times New Roman" w:hAnsi="Times New Roman" w:cs="Times New Roman"/>
          <w:sz w:val="28"/>
          <w:szCs w:val="28"/>
        </w:rPr>
        <w:t>Дурнин</w:t>
      </w:r>
      <w:proofErr w:type="spellEnd"/>
      <w:r>
        <w:rPr>
          <w:rFonts w:ascii="Times New Roman" w:eastAsia="Times New Roman" w:hAnsi="Times New Roman" w:cs="Times New Roman"/>
          <w:sz w:val="28"/>
          <w:szCs w:val="28"/>
        </w:rPr>
        <w:t xml:space="preserve">, председатель ТОС «Казачка» В.В. </w:t>
      </w:r>
      <w:proofErr w:type="spellStart"/>
      <w:r>
        <w:rPr>
          <w:rFonts w:ascii="Times New Roman" w:eastAsia="Times New Roman" w:hAnsi="Times New Roman" w:cs="Times New Roman"/>
          <w:sz w:val="28"/>
          <w:szCs w:val="28"/>
        </w:rPr>
        <w:t>Чемериская</w:t>
      </w:r>
      <w:proofErr w:type="spellEnd"/>
      <w:r>
        <w:rPr>
          <w:rFonts w:ascii="Times New Roman" w:eastAsia="Times New Roman" w:hAnsi="Times New Roman" w:cs="Times New Roman"/>
          <w:sz w:val="28"/>
          <w:szCs w:val="28"/>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lang w:eastAsia="zh-CN"/>
        </w:rPr>
        <w:t>Оказано содействие ТОС:</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lang w:eastAsia="zh-CN"/>
        </w:rPr>
        <w:t>в оформлении 4 заявок на участие в третьей Всероссийской муниципальной премии «Служение»: ТОС«Загородное», ТОС «Южно-Слободской», ТОС «Доброполье», ТОС «Казачка»;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lang w:eastAsia="zh-CN"/>
        </w:rPr>
        <w:lastRenderedPageBreak/>
        <w:t>в проведении 6 мероприятий, посвященных праздникам дворов в рамках празднования 159-й годовщины со дня основания города Уссурийска (г.Уссурийск, ул. Воровского, 151, ул. Владивостокское шоссе, 109а, ул.Строительная, 2а, ул. Промышленная, 3, ул. Попова, 32в, ул. Вокзальная, дамба, 31).</w:t>
      </w:r>
    </w:p>
    <w:p w:rsidR="00B52DE3" w:rsidRDefault="00DE73E3">
      <w:pPr>
        <w:spacing w:after="0" w:line="360" w:lineRule="auto"/>
        <w:ind w:firstLine="709"/>
        <w:rPr>
          <w:rFonts w:ascii="Times New Roman" w:hAnsi="Times New Roman" w:cs="Times New Roman"/>
        </w:rPr>
      </w:pPr>
      <w:r>
        <w:rPr>
          <w:rFonts w:ascii="Times New Roman" w:eastAsia="Times New Roman" w:hAnsi="Times New Roman" w:cs="Times New Roman"/>
          <w:bCs/>
          <w:sz w:val="28"/>
          <w:szCs w:val="28"/>
          <w:lang w:eastAsia="zh-CN"/>
        </w:rPr>
        <w:t>В 2025 году организовано:</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lang w:eastAsia="zh-CN"/>
        </w:rPr>
        <w:t>участие ТОС в мероприятиях, посвященных 80-летию Победы в Великой Отечественной войне 1941-1945 годах (торжественное мероприятие «Эстафета Победы», «Храним огонь Победы», в праздничных мероприятиях «В нашем доме живет ветеран», посвященных чествованию ветеранов Великой Отечественной войны 1941-1945 годов).</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lang w:eastAsia="zh-CN"/>
        </w:rPr>
        <w:t xml:space="preserve">участие органов ТОС и некоммерческих организаций в </w:t>
      </w:r>
      <w:r>
        <w:rPr>
          <w:rFonts w:ascii="Times New Roman" w:eastAsia="Times New Roman" w:hAnsi="Times New Roman" w:cs="Times New Roman"/>
          <w:bCs/>
          <w:sz w:val="28"/>
          <w:szCs w:val="28"/>
          <w:lang w:val="en-US" w:eastAsia="zh-CN"/>
        </w:rPr>
        <w:t>VIII</w:t>
      </w:r>
      <w:r>
        <w:rPr>
          <w:rFonts w:ascii="Times New Roman" w:eastAsia="Times New Roman" w:hAnsi="Times New Roman" w:cs="Times New Roman"/>
          <w:bCs/>
          <w:sz w:val="28"/>
          <w:szCs w:val="28"/>
          <w:lang w:eastAsia="zh-CN"/>
        </w:rPr>
        <w:t xml:space="preserve"> Всероссийском </w:t>
      </w:r>
      <w:proofErr w:type="spellStart"/>
      <w:r>
        <w:rPr>
          <w:rFonts w:ascii="Times New Roman" w:eastAsia="Times New Roman" w:hAnsi="Times New Roman" w:cs="Times New Roman"/>
          <w:bCs/>
          <w:sz w:val="28"/>
          <w:szCs w:val="28"/>
          <w:lang w:eastAsia="zh-CN"/>
        </w:rPr>
        <w:t>онлайн-зачете</w:t>
      </w:r>
      <w:proofErr w:type="spellEnd"/>
      <w:r>
        <w:rPr>
          <w:rFonts w:ascii="Times New Roman" w:eastAsia="Times New Roman" w:hAnsi="Times New Roman" w:cs="Times New Roman"/>
          <w:bCs/>
          <w:sz w:val="28"/>
          <w:szCs w:val="28"/>
          <w:lang w:eastAsia="zh-CN"/>
        </w:rPr>
        <w:t xml:space="preserve"> по финансовой грамотности, организованном в рамках просветительского проекта Банка России;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lang w:eastAsia="zh-CN"/>
        </w:rPr>
        <w:t>участие руководителей ТОС и некоммерческих организаций в финансовом марафоне «На финансовой волне», разработанном Министерством финансов Приморского края».</w:t>
      </w:r>
    </w:p>
    <w:p w:rsidR="00B52DE3" w:rsidRDefault="00DE73E3">
      <w:pPr>
        <w:shd w:val="clear" w:color="auto" w:fill="FFFFFF"/>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bCs/>
          <w:color w:val="000000" w:themeColor="dark1"/>
          <w:sz w:val="28"/>
          <w:szCs w:val="28"/>
          <w:lang w:eastAsia="zh-CN"/>
        </w:rPr>
        <w:t>В 2025 году проведено 2 заседания Общественного совета по вопросам жилищно-коммунального хозяйства при администрации Уссурийского городского округа (АППГ - 2). Рассмотрено 9 вопросов, основные из них:              «</w:t>
      </w:r>
      <w:r>
        <w:rPr>
          <w:rFonts w:ascii="Times New Roman" w:eastAsia="Times New Roman" w:hAnsi="Times New Roman" w:cs="Times New Roman"/>
          <w:bCs/>
          <w:sz w:val="28"/>
          <w:szCs w:val="28"/>
          <w:lang w:eastAsia="zh-CN"/>
        </w:rPr>
        <w:t xml:space="preserve">О соблюдении мер противопожарной безопасности в пожароопасный период на территории Уссурийского городского округа Приморского края», «О проведении двухмесячника по благоустройству и санитарной очистке территории Уссурийского городского округа Приморского края»,                        «О правилах перепланировки и переустройстве жилых помещений в многоквартирных домах», «О результатах реализации программы </w:t>
      </w:r>
      <w:proofErr w:type="spellStart"/>
      <w:r>
        <w:rPr>
          <w:rFonts w:ascii="Times New Roman" w:eastAsia="Times New Roman" w:hAnsi="Times New Roman" w:cs="Times New Roman"/>
          <w:bCs/>
          <w:sz w:val="28"/>
          <w:szCs w:val="28"/>
          <w:lang w:eastAsia="zh-CN"/>
        </w:rPr>
        <w:t>догазификации</w:t>
      </w:r>
      <w:proofErr w:type="spellEnd"/>
      <w:r>
        <w:rPr>
          <w:rFonts w:ascii="Times New Roman" w:eastAsia="Times New Roman" w:hAnsi="Times New Roman" w:cs="Times New Roman"/>
          <w:bCs/>
          <w:sz w:val="28"/>
          <w:szCs w:val="28"/>
          <w:lang w:eastAsia="zh-CN"/>
        </w:rPr>
        <w:t xml:space="preserve"> индивидуальных жилых домов на территории г. Уссурийска», «О результатах работы по оснащению жилых помещений автономными </w:t>
      </w:r>
      <w:r>
        <w:rPr>
          <w:rFonts w:ascii="Times New Roman" w:eastAsia="Times New Roman" w:hAnsi="Times New Roman" w:cs="Times New Roman"/>
          <w:bCs/>
          <w:sz w:val="28"/>
          <w:szCs w:val="28"/>
          <w:lang w:eastAsia="zh-CN"/>
        </w:rPr>
        <w:lastRenderedPageBreak/>
        <w:t xml:space="preserve">дымовыми пожарными </w:t>
      </w:r>
      <w:proofErr w:type="spellStart"/>
      <w:r>
        <w:rPr>
          <w:rFonts w:ascii="Times New Roman" w:eastAsia="Times New Roman" w:hAnsi="Times New Roman" w:cs="Times New Roman"/>
          <w:bCs/>
          <w:sz w:val="28"/>
          <w:szCs w:val="28"/>
          <w:lang w:eastAsia="zh-CN"/>
        </w:rPr>
        <w:t>извещателями</w:t>
      </w:r>
      <w:proofErr w:type="spellEnd"/>
      <w:r>
        <w:rPr>
          <w:rFonts w:ascii="Times New Roman" w:eastAsia="Times New Roman" w:hAnsi="Times New Roman" w:cs="Times New Roman"/>
          <w:bCs/>
          <w:sz w:val="28"/>
          <w:szCs w:val="28"/>
          <w:lang w:eastAsia="zh-CN"/>
        </w:rPr>
        <w:t xml:space="preserve"> для отдельных категорий граждан в 2025 году».</w:t>
      </w:r>
    </w:p>
    <w:p w:rsidR="00B52DE3" w:rsidRDefault="00B52DE3">
      <w:pPr>
        <w:shd w:val="clear" w:color="auto" w:fill="FFFFFF"/>
        <w:spacing w:after="0" w:line="360" w:lineRule="auto"/>
        <w:ind w:firstLine="709"/>
        <w:jc w:val="both"/>
        <w:rPr>
          <w:rFonts w:ascii="Times New Roman" w:hAnsi="Times New Roman" w:cs="Times New Roman"/>
        </w:rPr>
      </w:pPr>
    </w:p>
    <w:p w:rsidR="00B52DE3" w:rsidRDefault="00B52DE3">
      <w:pPr>
        <w:shd w:val="clear" w:color="auto" w:fill="FFFFFF"/>
        <w:spacing w:after="0" w:line="360" w:lineRule="auto"/>
        <w:ind w:firstLine="709"/>
        <w:jc w:val="both"/>
        <w:rPr>
          <w:rFonts w:ascii="Times New Roman" w:hAnsi="Times New Roman" w:cs="Times New Roman"/>
        </w:rPr>
      </w:pPr>
    </w:p>
    <w:p w:rsidR="00B52DE3" w:rsidRDefault="00DE73E3">
      <w:pPr>
        <w:pStyle w:val="2f6"/>
        <w:keepNext w:val="0"/>
        <w:spacing w:before="0" w:line="240" w:lineRule="auto"/>
        <w:ind w:left="0"/>
      </w:pPr>
      <w:bookmarkStart w:id="117" w:name="_Toc105"/>
      <w:r>
        <w:t>Взаимодействие органов местного самоуправления с некоммерческими объединениями, осуществляющими деятельность на территории Уссурийского городского округа</w:t>
      </w:r>
      <w:bookmarkEnd w:id="117"/>
    </w:p>
    <w:p w:rsidR="00B52DE3" w:rsidRDefault="00B52DE3">
      <w:pPr>
        <w:pStyle w:val="2f6"/>
        <w:keepNext w:val="0"/>
        <w:spacing w:before="0" w:line="240" w:lineRule="auto"/>
        <w:ind w:left="0"/>
      </w:pPr>
    </w:p>
    <w:p w:rsidR="00B52DE3" w:rsidRDefault="00B52DE3">
      <w:pPr>
        <w:pStyle w:val="2f6"/>
        <w:keepNext w:val="0"/>
        <w:spacing w:before="0" w:line="240" w:lineRule="auto"/>
        <w:ind w:left="0"/>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2025 году финансовая, консультационная и информационная поддержка СО НКО осуществлялась в рамках муниципальной программы «Поддержка социально ориентированных некоммерческих организаций на территории Уссурийского городского округа на 2023-2028 годы» (далее – муниципальная программа). Финансирование муниципальной программы на 2025 год составило 2281,09115 тысяч рублей, освоено 2281,09115 тысяч рублей.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рамках муниципальной программы проведены:</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конкурс социально значимых проектов социально ориентированных некоммерческих организаций Уссурийского городского округа (далее - СО </w:t>
      </w:r>
      <w:r>
        <w:rPr>
          <w:rFonts w:ascii="Times New Roman" w:eastAsia="Times New Roman" w:hAnsi="Times New Roman" w:cs="Times New Roman"/>
          <w:color w:val="000000" w:themeColor="dark1"/>
          <w:sz w:val="28"/>
          <w:szCs w:val="28"/>
        </w:rPr>
        <w:t xml:space="preserve">НКО). Определены 5 лучших проектов (АППГ-7), на реализацию которых из местного и краевого бюджета оказана финансовая поддержка на общую сумму 114000,00 рублей. Победителями стали: </w:t>
      </w:r>
      <w:r>
        <w:rPr>
          <w:rFonts w:ascii="Times New Roman" w:eastAsia="Times New Roman" w:hAnsi="Times New Roman" w:cs="Times New Roman"/>
          <w:sz w:val="28"/>
          <w:szCs w:val="28"/>
        </w:rPr>
        <w:t xml:space="preserve">Благотворительный фонд «Сила Жизни» (субсидия 300 000 рублей), Казачье общество «Уссурийская казачья станица Уссурийского городского округа» (субсидия 240 000 рублей), Общественная организация «Федерация спортивного </w:t>
      </w:r>
      <w:proofErr w:type="spellStart"/>
      <w:r>
        <w:rPr>
          <w:rFonts w:ascii="Times New Roman" w:eastAsia="Times New Roman" w:hAnsi="Times New Roman" w:cs="Times New Roman"/>
          <w:sz w:val="28"/>
          <w:szCs w:val="28"/>
        </w:rPr>
        <w:t>пэйнтбола</w:t>
      </w:r>
      <w:proofErr w:type="spellEnd"/>
      <w:r>
        <w:rPr>
          <w:rFonts w:ascii="Times New Roman" w:eastAsia="Times New Roman" w:hAnsi="Times New Roman" w:cs="Times New Roman"/>
          <w:sz w:val="28"/>
          <w:szCs w:val="28"/>
        </w:rPr>
        <w:t xml:space="preserve"> г.Уссурийска Приморского края» (субсидия 220 000 рублей), Региональная общественная организация поддержки и защиты социально незащищенных слоев населения Приморского края «Женщины Приморья» (субсидия 200 000 рублей), Фонд социальной поддержки, защиты и помощи людям с ограниченными физическими возможностями здоровья «Надежда» (субсидия 180 000 рублей).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 xml:space="preserve">предоставлены субсидии на финансовое обеспечение затрат по оплате коммунальных услуг, телефонной связи, приобретение бензина, на приобретение канцелярских товаров. По итогам конкурсного отбора получателями субсидии на сумму 991091,15 рублей стали следующие 11 СО НКО: Благотворительный фонд «Сила Жизни», Казачье общество «Уссурийская казачья станица Уссурийского городского округа»,  Общественная организация «Федерация спортивного </w:t>
      </w:r>
      <w:proofErr w:type="spellStart"/>
      <w:r>
        <w:rPr>
          <w:rFonts w:ascii="Times New Roman" w:eastAsia="Times New Roman" w:hAnsi="Times New Roman" w:cs="Times New Roman"/>
          <w:sz w:val="28"/>
          <w:szCs w:val="28"/>
        </w:rPr>
        <w:t>пэйнтбола</w:t>
      </w:r>
      <w:proofErr w:type="spellEnd"/>
      <w:r>
        <w:rPr>
          <w:rFonts w:ascii="Times New Roman" w:eastAsia="Times New Roman" w:hAnsi="Times New Roman" w:cs="Times New Roman"/>
          <w:sz w:val="28"/>
          <w:szCs w:val="28"/>
        </w:rPr>
        <w:t xml:space="preserve">                               г. Уссурийска Приморского края», Региональная общественная организация поддержки и защиты социально незащищенных слоев населения Приморского края «Женщины Приморья», Фонд социальной поддержки, защиты и помощи людям с ограниченными физическими возможностями здоровья «Надежда», Уссурийская общественная организация инвалидов и ветеранов локальных войн и военной службы «</w:t>
      </w:r>
      <w:proofErr w:type="spellStart"/>
      <w:r>
        <w:rPr>
          <w:rFonts w:ascii="Times New Roman" w:eastAsia="Times New Roman" w:hAnsi="Times New Roman" w:cs="Times New Roman"/>
          <w:sz w:val="28"/>
          <w:szCs w:val="28"/>
        </w:rPr>
        <w:t>Шиндант</w:t>
      </w:r>
      <w:proofErr w:type="spellEnd"/>
      <w:r>
        <w:rPr>
          <w:rFonts w:ascii="Times New Roman" w:eastAsia="Times New Roman" w:hAnsi="Times New Roman" w:cs="Times New Roman"/>
          <w:sz w:val="28"/>
          <w:szCs w:val="28"/>
        </w:rPr>
        <w:t xml:space="preserve">», Приморская краевая организация Общероссийская общественная организация инвалидов «Всероссийское Ордена Трудового Красного Знамени общество слепых»,  Приморская краевая национально-культурная общественная организация «Белорусы Приморья», местная религиозная организация православный Приход храма в честь преподобного Серафима </w:t>
      </w:r>
      <w:proofErr w:type="spellStart"/>
      <w:r>
        <w:rPr>
          <w:rFonts w:ascii="Times New Roman" w:eastAsia="Times New Roman" w:hAnsi="Times New Roman" w:cs="Times New Roman"/>
          <w:sz w:val="28"/>
          <w:szCs w:val="28"/>
        </w:rPr>
        <w:t>Саровского</w:t>
      </w:r>
      <w:proofErr w:type="spellEnd"/>
      <w:r>
        <w:rPr>
          <w:rFonts w:ascii="Times New Roman" w:eastAsia="Times New Roman" w:hAnsi="Times New Roman" w:cs="Times New Roman"/>
          <w:sz w:val="28"/>
          <w:szCs w:val="28"/>
        </w:rPr>
        <w:t xml:space="preserve"> г. Уссурийска Приморского края Владивостокской епархии Православной Церкви, (Московский Патриархат), Общество инвалидов Уссурийского городского округа Приморской краевой организации Общероссийской общественной организации «Всероссийское общество инвалидов», Общественная организация «Приморская региональная национально-культурная автономия корейцев г. Уссурийска.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отчетном периоде проведено 3 заседания Координационного совета общественных организаций при администрации Уссурийского городского округа (АППГ - 3).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С целью совершенствования системы взаимодействия с общественными организациями управлением оказано содействие в организации и проведении 20 мероприятий (АППГ- 18), в том числе:</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празднование Нового года по Лунному календарю,</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rPr>
        <w:t>мероприятия, посвященных Дню памяти о россиянах, исполнявших служебный долг за пределами Отечества (15 февраля 2025года);</w:t>
      </w:r>
    </w:p>
    <w:p w:rsidR="00B52DE3" w:rsidRDefault="00DE73E3">
      <w:pPr>
        <w:pStyle w:val="afff0"/>
        <w:shd w:val="clear" w:color="auto" w:fill="FFFFFF"/>
        <w:spacing w:before="0" w:after="0" w:line="360" w:lineRule="auto"/>
        <w:ind w:firstLine="708"/>
        <w:jc w:val="both"/>
      </w:pPr>
      <w:r>
        <w:rPr>
          <w:rFonts w:eastAsia="Times New Roman"/>
          <w:sz w:val="28"/>
          <w:szCs w:val="28"/>
        </w:rPr>
        <w:t>заседание клуба «Счастье Матери» к Международному женскому дню 8 Марта, ко Дню семьи, любви и верности;</w:t>
      </w:r>
    </w:p>
    <w:p w:rsidR="00B52DE3" w:rsidRDefault="00DE73E3">
      <w:pPr>
        <w:pStyle w:val="afff0"/>
        <w:shd w:val="clear" w:color="auto" w:fill="FFFFFF"/>
        <w:spacing w:before="0" w:after="0" w:line="360" w:lineRule="auto"/>
        <w:ind w:firstLine="708"/>
        <w:jc w:val="both"/>
      </w:pPr>
      <w:r>
        <w:rPr>
          <w:rFonts w:eastAsia="Times New Roman"/>
          <w:sz w:val="28"/>
          <w:szCs w:val="28"/>
        </w:rPr>
        <w:t xml:space="preserve">мероприятие, посвященное Дню единения народов Беларуси и России (03 апреля); </w:t>
      </w:r>
    </w:p>
    <w:p w:rsidR="00B52DE3" w:rsidRDefault="00DE73E3">
      <w:pPr>
        <w:pStyle w:val="afff0"/>
        <w:shd w:val="clear" w:color="auto" w:fill="FFFFFF"/>
        <w:spacing w:before="0" w:after="0" w:line="360" w:lineRule="auto"/>
        <w:ind w:firstLine="708"/>
        <w:jc w:val="both"/>
      </w:pPr>
      <w:r>
        <w:rPr>
          <w:rFonts w:eastAsia="Times New Roman"/>
          <w:sz w:val="28"/>
          <w:szCs w:val="28"/>
        </w:rPr>
        <w:t>мероприятие, посвященное Дню памяти героев, погибших в борьбе с японскими интервентами 4-5 апреля 1920 года в Приморском крае (08 апреля),</w:t>
      </w:r>
    </w:p>
    <w:p w:rsidR="00B52DE3" w:rsidRDefault="00DE73E3">
      <w:pPr>
        <w:pStyle w:val="afff0"/>
        <w:shd w:val="clear" w:color="auto" w:fill="FFFFFF"/>
        <w:spacing w:before="0" w:after="0" w:line="360" w:lineRule="auto"/>
        <w:ind w:firstLine="708"/>
        <w:jc w:val="both"/>
      </w:pPr>
      <w:r>
        <w:rPr>
          <w:rFonts w:eastAsia="Times New Roman"/>
          <w:sz w:val="28"/>
          <w:szCs w:val="28"/>
        </w:rPr>
        <w:t>благотворительные акции «Красная гвоздика» (05 мая - 22 июня), «Собери ребенка в школу», «Портфель школьнику» (15июля – 31августа),</w:t>
      </w:r>
    </w:p>
    <w:p w:rsidR="00B52DE3" w:rsidRDefault="00DE73E3">
      <w:pPr>
        <w:pStyle w:val="afff0"/>
        <w:shd w:val="clear" w:color="auto" w:fill="FFFFFF"/>
        <w:spacing w:before="0" w:after="0" w:line="360" w:lineRule="auto"/>
        <w:ind w:firstLine="708"/>
        <w:jc w:val="both"/>
      </w:pPr>
      <w:r>
        <w:rPr>
          <w:rFonts w:eastAsia="Times New Roman"/>
          <w:sz w:val="28"/>
          <w:szCs w:val="28"/>
        </w:rPr>
        <w:t xml:space="preserve">мероприятие, посвященное 160-летию переселения корейцев в Россию - I Фестиваль межнациональных культур «Рябиновые бусы» (15 августа), </w:t>
      </w:r>
    </w:p>
    <w:p w:rsidR="00B52DE3" w:rsidRDefault="00DE73E3">
      <w:pPr>
        <w:pStyle w:val="afff0"/>
        <w:shd w:val="clear" w:color="auto" w:fill="FFFFFF"/>
        <w:spacing w:before="0" w:after="0" w:line="360" w:lineRule="auto"/>
        <w:ind w:firstLine="708"/>
        <w:jc w:val="both"/>
      </w:pPr>
      <w:r>
        <w:rPr>
          <w:rFonts w:eastAsia="Times New Roman"/>
          <w:sz w:val="28"/>
          <w:szCs w:val="28"/>
        </w:rPr>
        <w:t>концерт «Песни времен года» (20 сентября),</w:t>
      </w:r>
    </w:p>
    <w:p w:rsidR="00B52DE3" w:rsidRDefault="00DE73E3">
      <w:pPr>
        <w:pStyle w:val="afff0"/>
        <w:shd w:val="clear" w:color="auto" w:fill="FFFFFF"/>
        <w:spacing w:before="0" w:after="0" w:line="360" w:lineRule="auto"/>
        <w:ind w:firstLine="708"/>
        <w:jc w:val="both"/>
      </w:pPr>
      <w:r>
        <w:rPr>
          <w:rFonts w:eastAsia="Times New Roman"/>
          <w:sz w:val="28"/>
          <w:szCs w:val="28"/>
        </w:rPr>
        <w:t>корейский праздник урожая «</w:t>
      </w:r>
      <w:proofErr w:type="spellStart"/>
      <w:r>
        <w:rPr>
          <w:rFonts w:eastAsia="Times New Roman"/>
          <w:sz w:val="28"/>
          <w:szCs w:val="28"/>
        </w:rPr>
        <w:t>Чусок</w:t>
      </w:r>
      <w:proofErr w:type="spellEnd"/>
      <w:r>
        <w:rPr>
          <w:rFonts w:eastAsia="Times New Roman"/>
          <w:sz w:val="28"/>
          <w:szCs w:val="28"/>
        </w:rPr>
        <w:t>» (21 сентября);</w:t>
      </w:r>
    </w:p>
    <w:p w:rsidR="00B52DE3" w:rsidRDefault="00DE73E3">
      <w:pPr>
        <w:pStyle w:val="afff0"/>
        <w:shd w:val="clear" w:color="auto" w:fill="FFFFFF"/>
        <w:spacing w:before="0" w:after="0" w:line="360" w:lineRule="auto"/>
        <w:ind w:firstLine="708"/>
        <w:jc w:val="both"/>
      </w:pPr>
      <w:r>
        <w:rPr>
          <w:rFonts w:eastAsia="Times New Roman"/>
          <w:sz w:val="28"/>
          <w:szCs w:val="28"/>
        </w:rPr>
        <w:t>мероприятие ко Дню добровольца России (05декабря), ко Дню Матери «Мамы! Мы Вас, Любим!» (24 ноября);</w:t>
      </w:r>
    </w:p>
    <w:p w:rsidR="00B52DE3" w:rsidRDefault="00DE73E3">
      <w:pPr>
        <w:pStyle w:val="afff0"/>
        <w:shd w:val="clear" w:color="auto" w:fill="FFFFFF"/>
        <w:spacing w:before="0" w:after="0" w:line="360" w:lineRule="auto"/>
        <w:ind w:firstLine="708"/>
        <w:jc w:val="both"/>
      </w:pPr>
      <w:r>
        <w:rPr>
          <w:rFonts w:eastAsia="Times New Roman"/>
          <w:sz w:val="28"/>
          <w:szCs w:val="28"/>
        </w:rPr>
        <w:t>мероприятие, посвященное открытию в Уссурийском городском округе АНО «Центр защиты семьи, материнства и детства «Колыбелька».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Во взаимодействии с управлением культуры администрации Уссурийского городского округа проведено торжественное мероприятие, посвященное Дню народного единства «Вместе мы - Россия!» (04 ноября 2025 года). В мероприятии приняло участие более 300 человек.</w:t>
      </w:r>
    </w:p>
    <w:p w:rsidR="00B52DE3" w:rsidRDefault="00B52DE3">
      <w:pPr>
        <w:spacing w:after="0" w:line="360" w:lineRule="auto"/>
        <w:ind w:firstLine="709"/>
        <w:jc w:val="both"/>
        <w:rPr>
          <w:rFonts w:ascii="Times New Roman" w:hAnsi="Times New Roman" w:cs="Times New Roman"/>
        </w:rPr>
      </w:pPr>
    </w:p>
    <w:p w:rsidR="00B52DE3" w:rsidRDefault="00DE73E3">
      <w:pPr>
        <w:pStyle w:val="Heading2"/>
        <w:jc w:val="center"/>
        <w:rPr>
          <w:rFonts w:ascii="Times New Roman" w:hAnsi="Times New Roman"/>
          <w:i w:val="0"/>
          <w:iCs w:val="0"/>
        </w:rPr>
      </w:pPr>
      <w:bookmarkStart w:id="118" w:name="_Toc106"/>
      <w:r>
        <w:rPr>
          <w:rFonts w:ascii="Times New Roman" w:hAnsi="Times New Roman"/>
          <w:i w:val="0"/>
          <w:iCs w:val="0"/>
        </w:rPr>
        <w:lastRenderedPageBreak/>
        <w:t>Оказание поддержки общественным объединениям инвалидов</w:t>
      </w:r>
      <w:bookmarkEnd w:id="118"/>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widowControl w:val="0"/>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bCs/>
          <w:color w:val="000000"/>
          <w:sz w:val="28"/>
          <w:szCs w:val="28"/>
        </w:rPr>
        <w:t>В 2025 году проведено 4 заседания Координационного совета по делам инвалидов при администрации Уссурийского городского округа.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Общественным организациям инвалидов в течение года оказывалось содействие:</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организации предоставления автотранспорта администрации Уссурийского городского округа для участия в региональных мероприятия для инвалидов, для посещения краевых учреждений культуры;</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в проведении мероприятий в рамках Декады инвалидов, акции «Белая трость»; </w:t>
      </w:r>
      <w:r>
        <w:rPr>
          <w:rFonts w:ascii="Times New Roman" w:eastAsia="Times New Roman" w:hAnsi="Times New Roman" w:cs="Times New Roman"/>
          <w:color w:val="000000"/>
          <w:sz w:val="28"/>
        </w:rPr>
        <w:t>в проведении торжественного мероприятия, посвященного Международному Дню инвалидов.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Организовано участие детей-инвалидов в праздничном мероприятии «Ёлка главы», вручение новогодних подарков детям с ограниченными возможностями здоровья.</w:t>
      </w:r>
    </w:p>
    <w:p w:rsidR="00B52DE3" w:rsidRDefault="00DE73E3">
      <w:pPr>
        <w:pStyle w:val="Heading2"/>
        <w:jc w:val="center"/>
        <w:rPr>
          <w:rFonts w:ascii="Times New Roman" w:hAnsi="Times New Roman"/>
          <w:i w:val="0"/>
          <w:iCs w:val="0"/>
        </w:rPr>
      </w:pPr>
      <w:bookmarkStart w:id="119" w:name="_Toc107"/>
      <w:r>
        <w:rPr>
          <w:rFonts w:ascii="Times New Roman" w:hAnsi="Times New Roman"/>
          <w:i w:val="0"/>
          <w:iCs w:val="0"/>
        </w:rPr>
        <w:t>Участие в патриотическом воспитании граждан</w:t>
      </w:r>
      <w:bookmarkEnd w:id="119"/>
    </w:p>
    <w:p w:rsidR="00B52DE3" w:rsidRDefault="00B52DE3">
      <w:pPr>
        <w:spacing w:after="0" w:line="360" w:lineRule="auto"/>
        <w:ind w:right="34" w:firstLine="709"/>
        <w:jc w:val="both"/>
        <w:rPr>
          <w:rFonts w:ascii="Times New Roman" w:hAnsi="Times New Roman" w:cs="Times New Roman"/>
        </w:rPr>
      </w:pPr>
    </w:p>
    <w:p w:rsidR="00B52DE3" w:rsidRDefault="00DE73E3">
      <w:pPr>
        <w:spacing w:after="0" w:line="360" w:lineRule="auto"/>
        <w:ind w:right="34"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Проводилась работа патриотической направленности во исполнение мероприятий государственной программы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 на 2020-2027 годы. </w:t>
      </w:r>
    </w:p>
    <w:p w:rsidR="00B52DE3" w:rsidRDefault="00DE73E3">
      <w:pPr>
        <w:pStyle w:val="2f"/>
        <w:spacing w:after="0" w:line="360" w:lineRule="auto"/>
        <w:ind w:firstLine="720"/>
        <w:jc w:val="both"/>
      </w:pPr>
      <w:r>
        <w:rPr>
          <w:sz w:val="28"/>
          <w:szCs w:val="28"/>
        </w:rPr>
        <w:t xml:space="preserve">В отчетном периоде организовано поздравление 54 ветеранов Великой Отечественной войны 1941-1945 годов с юбилейными датами со дня рождения.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09 мая 2025 года организовано участие ветеранов Великой Отечественной войны в параде войск Уссурийского гарнизона.</w:t>
      </w:r>
    </w:p>
    <w:p w:rsidR="00B52DE3" w:rsidRDefault="00DE73E3">
      <w:pPr>
        <w:spacing w:after="0" w:line="360" w:lineRule="auto"/>
        <w:ind w:firstLine="708"/>
        <w:contextualSpacing/>
        <w:jc w:val="both"/>
        <w:rPr>
          <w:rFonts w:ascii="Times New Roman" w:hAnsi="Times New Roman" w:cs="Times New Roman"/>
        </w:rPr>
      </w:pPr>
      <w:r>
        <w:rPr>
          <w:rFonts w:ascii="Times New Roman" w:eastAsia="Times New Roman" w:hAnsi="Times New Roman" w:cs="Times New Roman"/>
          <w:sz w:val="28"/>
          <w:szCs w:val="28"/>
        </w:rPr>
        <w:t xml:space="preserve">Совместно с 5 гвардейской общевойсковой Краснознамённой ордена Жукова армией, ветеранскими общественными организациям Уссурийского </w:t>
      </w:r>
      <w:r>
        <w:rPr>
          <w:rFonts w:ascii="Times New Roman" w:eastAsia="Times New Roman" w:hAnsi="Times New Roman" w:cs="Times New Roman"/>
          <w:sz w:val="28"/>
          <w:szCs w:val="28"/>
        </w:rPr>
        <w:lastRenderedPageBreak/>
        <w:t>городского округа Приморского края организованы и проведено                             5 мероприятий патриотической направленности.</w:t>
      </w:r>
    </w:p>
    <w:p w:rsidR="00B52DE3" w:rsidRDefault="00DE73E3">
      <w:pPr>
        <w:pStyle w:val="Heading2"/>
        <w:jc w:val="center"/>
        <w:rPr>
          <w:rFonts w:ascii="Times New Roman" w:hAnsi="Times New Roman"/>
          <w:i w:val="0"/>
          <w:iCs w:val="0"/>
        </w:rPr>
      </w:pPr>
      <w:bookmarkStart w:id="120" w:name="_Toc108"/>
      <w:r>
        <w:rPr>
          <w:rFonts w:ascii="Times New Roman" w:hAnsi="Times New Roman"/>
          <w:i w:val="0"/>
          <w:iCs w:val="0"/>
        </w:rPr>
        <w:t>Взаимодействие с войсковыми частями Уссурийского гарнизона</w:t>
      </w:r>
      <w:bookmarkEnd w:id="120"/>
    </w:p>
    <w:p w:rsidR="00B52DE3" w:rsidRDefault="00B52DE3"/>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bCs/>
          <w:color w:val="000000" w:themeColor="dark1"/>
          <w:sz w:val="28"/>
          <w:szCs w:val="28"/>
        </w:rPr>
        <w:t>В отчетном периоде проведено 4 заседания Консультативного совета по делам военнослужащих, казачества, граждан уволенных с военной службы, членов их семей и допризывной молодежи при главе Уссурийского городского округа Приморского края.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 итогам каждого полугодия во взаимодействии с командованием войсковых частей Уссурийского гарнизона проведена работа по сбору и систематизации сведений по форме 3.1 </w:t>
      </w:r>
      <w:proofErr w:type="spellStart"/>
      <w:r>
        <w:rPr>
          <w:rFonts w:ascii="Times New Roman" w:eastAsia="Times New Roman" w:hAnsi="Times New Roman" w:cs="Times New Roman"/>
          <w:sz w:val="28"/>
          <w:szCs w:val="28"/>
        </w:rPr>
        <w:t>риур</w:t>
      </w:r>
      <w:proofErr w:type="spellEnd"/>
      <w:r>
        <w:rPr>
          <w:rFonts w:ascii="Times New Roman" w:eastAsia="Times New Roman" w:hAnsi="Times New Roman" w:cs="Times New Roman"/>
          <w:sz w:val="28"/>
          <w:szCs w:val="28"/>
        </w:rPr>
        <w:t xml:space="preserve"> о численности зарегистрированных избирателей, участников референдума, проживающих в пределах расположения войсковых частей. </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Также управлением оказано содействие войсковым частям и подразделениям территориальных органов федеральных органов исполнительной власти, находящихся на территории Уссурийского городского округа Приморского края, в проведении</w:t>
      </w:r>
      <w:r>
        <w:rPr>
          <w:rFonts w:ascii="Times New Roman" w:eastAsia="Times New Roman" w:hAnsi="Times New Roman" w:cs="Times New Roman"/>
          <w:b/>
          <w:bCs/>
          <w:color w:val="C00000"/>
          <w:sz w:val="28"/>
          <w:szCs w:val="28"/>
        </w:rPr>
        <w:t xml:space="preserve"> </w:t>
      </w:r>
      <w:r>
        <w:rPr>
          <w:rFonts w:ascii="Times New Roman" w:eastAsia="Times New Roman" w:hAnsi="Times New Roman" w:cs="Times New Roman"/>
          <w:color w:val="000000" w:themeColor="dark1"/>
          <w:sz w:val="28"/>
          <w:szCs w:val="28"/>
        </w:rPr>
        <w:t>10 мероприятий</w:t>
      </w:r>
      <w:r>
        <w:rPr>
          <w:rFonts w:ascii="Times New Roman" w:eastAsia="Times New Roman" w:hAnsi="Times New Roman" w:cs="Times New Roman"/>
          <w:color w:val="000000"/>
          <w:sz w:val="28"/>
          <w:szCs w:val="28"/>
        </w:rPr>
        <w:t>.</w:t>
      </w:r>
    </w:p>
    <w:p w:rsidR="00B52DE3" w:rsidRDefault="00DE73E3">
      <w:pPr>
        <w:pStyle w:val="1fe"/>
        <w:keepNext w:val="0"/>
        <w:keepLines w:val="0"/>
        <w:spacing w:line="240" w:lineRule="auto"/>
      </w:pPr>
      <w:bookmarkStart w:id="121" w:name="_Toc109"/>
      <w:r>
        <w:rPr>
          <w:rFonts w:eastAsia="Times New Roman"/>
          <w:lang w:eastAsia="ru-RU"/>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ГОРОДСКОМ ОКРУГЕ</w:t>
      </w:r>
      <w:bookmarkEnd w:id="121"/>
    </w:p>
    <w:p w:rsidR="00B52DE3" w:rsidRDefault="00B52DE3">
      <w:pPr>
        <w:widowControl w:val="0"/>
        <w:spacing w:after="0" w:line="240" w:lineRule="auto"/>
        <w:jc w:val="center"/>
        <w:rPr>
          <w:rFonts w:ascii="Times New Roman" w:hAnsi="Times New Roman" w:cs="Times New Roman"/>
          <w:sz w:val="28"/>
          <w:szCs w:val="28"/>
        </w:rPr>
      </w:pPr>
    </w:p>
    <w:p w:rsidR="00B52DE3" w:rsidRDefault="00DE73E3">
      <w:pPr>
        <w:pStyle w:val="Heading2"/>
        <w:jc w:val="center"/>
        <w:rPr>
          <w:rFonts w:ascii="Times New Roman" w:hAnsi="Times New Roman"/>
          <w:i w:val="0"/>
          <w:iCs w:val="0"/>
        </w:rPr>
      </w:pPr>
      <w:bookmarkStart w:id="122" w:name="_Toc110"/>
      <w:r>
        <w:rPr>
          <w:rFonts w:ascii="Times New Roman" w:hAnsi="Times New Roman"/>
          <w:i w:val="0"/>
          <w:iCs w:val="0"/>
        </w:rPr>
        <w:t>Развитие молодежной политики на территории Уссурийского городского округа Приморского края</w:t>
      </w:r>
      <w:bookmarkEnd w:id="122"/>
    </w:p>
    <w:p w:rsidR="00B52DE3" w:rsidRDefault="00B52DE3">
      <w:pPr>
        <w:widowControl w:val="0"/>
        <w:spacing w:after="0"/>
        <w:rPr>
          <w:rFonts w:ascii="Times New Roman" w:hAnsi="Times New Roman" w:cs="Times New Roman"/>
          <w:sz w:val="28"/>
          <w:szCs w:val="28"/>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соответствии с Федеральным законом от 06 октября 2003 года № 131-</w:t>
      </w:r>
      <w:r>
        <w:rPr>
          <w:rFonts w:ascii="Times New Roman" w:eastAsia="Times New Roman" w:hAnsi="Times New Roman" w:cs="Times New Roman"/>
          <w:sz w:val="28"/>
          <w:szCs w:val="28"/>
        </w:rPr>
        <w:lastRenderedPageBreak/>
        <w:t>ФЗ «Об общих принципах организации местного самоуправления в Российской Федерации», Федеральным законом от 20 марта 2025 года № 33-ФЗ «Об общих принципах организации местного самоуправления в единой системе публичной власти» администрация Уссурийского городского округа Приморского края выполняет работу по организации и осуществлению мероприятий с молодежью на территории Уссурийского городского округа, основной целью которых является создание условий для успешной социализации и развития потенциала молодежи Уссурийского городского округа.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bCs/>
          <w:sz w:val="28"/>
          <w:szCs w:val="28"/>
        </w:rPr>
        <w:t xml:space="preserve">Для достижения поставленных целей администрацией Уссурийского городского округа Приморского края реализуется муниципальная программа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Организация и осуществление мероприятий по работе с молодежью в Уссурийском городском округе Приморского края» на 2021 – 2027 годы</w:t>
      </w:r>
      <w:r>
        <w:rPr>
          <w:rFonts w:ascii="Times New Roman" w:eastAsia="Times New Roman" w:hAnsi="Times New Roman" w:cs="Times New Roman"/>
          <w:sz w:val="28"/>
          <w:szCs w:val="28"/>
        </w:rPr>
        <w:t xml:space="preserve">, утвержденная постановлением администрации Уссурийского городского округа </w:t>
      </w:r>
      <w:r>
        <w:rPr>
          <w:rFonts w:ascii="Times New Roman" w:eastAsia="Times New Roman" w:hAnsi="Times New Roman" w:cs="Times New Roman"/>
          <w:color w:val="000000"/>
          <w:sz w:val="28"/>
          <w:szCs w:val="28"/>
        </w:rPr>
        <w:t>Приморского края от 23 декабря 2020 года № 2788-НПА (далее – Программа)</w:t>
      </w:r>
      <w:r>
        <w:rPr>
          <w:rFonts w:ascii="Times New Roman" w:eastAsia="Times New Roman" w:hAnsi="Times New Roman" w:cs="Times New Roman"/>
          <w:sz w:val="28"/>
          <w:szCs w:val="28"/>
        </w:rPr>
        <w:t>.</w:t>
      </w:r>
    </w:p>
    <w:p w:rsidR="00B52DE3" w:rsidRDefault="00DE73E3">
      <w:pPr>
        <w:spacing w:after="0" w:line="360" w:lineRule="auto"/>
        <w:ind w:firstLine="709"/>
        <w:jc w:val="both"/>
        <w:outlineLvl w:val="0"/>
        <w:rPr>
          <w:rFonts w:ascii="Times New Roman" w:hAnsi="Times New Roman" w:cs="Times New Roman"/>
        </w:rPr>
      </w:pPr>
      <w:bookmarkStart w:id="123" w:name="_Toc111"/>
      <w:r>
        <w:rPr>
          <w:rFonts w:ascii="Times New Roman" w:eastAsia="Times New Roman" w:hAnsi="Times New Roman" w:cs="Times New Roman"/>
          <w:sz w:val="28"/>
          <w:szCs w:val="28"/>
        </w:rPr>
        <w:t>В ходе реализации Программы в 2025 году и во исполнение на территории Уссурийского городского округа федеральных проектов «Россия – страна возможностей» и «Мы вместе (Воспитание гармонично развитой</w:t>
      </w:r>
      <w:r>
        <w:rPr>
          <w:rFonts w:ascii="Times New Roman" w:eastAsia="Times New Roman" w:hAnsi="Times New Roman" w:cs="Times New Roman"/>
        </w:rPr>
        <w:t xml:space="preserve"> </w:t>
      </w:r>
      <w:r>
        <w:rPr>
          <w:rFonts w:ascii="Times New Roman" w:eastAsia="Times New Roman" w:hAnsi="Times New Roman" w:cs="Times New Roman"/>
          <w:sz w:val="28"/>
          <w:szCs w:val="28"/>
        </w:rPr>
        <w:t>личности)» (далее – ФП «Россия – страна возможностей», ФП «Мы вместе») национального проекта «Молодежь и дети» по направлению деятельности Управления реализовывались следующие показатели:</w:t>
      </w:r>
      <w:bookmarkEnd w:id="123"/>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1. Показатель ФП «Россия – страна возможностей» - «Общая численность молодых людей в возрасте от 14 до 35 лет включительно, принявших участие</w:t>
      </w:r>
      <w:r>
        <w:rPr>
          <w:rFonts w:ascii="Times New Roman" w:eastAsia="Times New Roman" w:hAnsi="Times New Roman" w:cs="Times New Roman"/>
        </w:rPr>
        <w:t xml:space="preserve"> </w:t>
      </w:r>
      <w:r>
        <w:rPr>
          <w:rFonts w:ascii="Times New Roman" w:eastAsia="Times New Roman" w:hAnsi="Times New Roman" w:cs="Times New Roman"/>
          <w:sz w:val="28"/>
          <w:szCs w:val="28"/>
        </w:rPr>
        <w:t>в проектах и программах, направленных на профессиональное, личностное</w:t>
      </w:r>
      <w:r>
        <w:rPr>
          <w:rFonts w:ascii="Times New Roman" w:eastAsia="Times New Roman" w:hAnsi="Times New Roman" w:cs="Times New Roman"/>
        </w:rPr>
        <w:t xml:space="preserve"> </w:t>
      </w:r>
      <w:r>
        <w:rPr>
          <w:rFonts w:ascii="Times New Roman" w:eastAsia="Times New Roman" w:hAnsi="Times New Roman" w:cs="Times New Roman"/>
          <w:sz w:val="28"/>
          <w:szCs w:val="28"/>
        </w:rPr>
        <w:t>развитие, реализованных органами местного самоуправления, исполнительными</w:t>
      </w:r>
      <w:r>
        <w:rPr>
          <w:rFonts w:ascii="Times New Roman" w:eastAsia="Times New Roman" w:hAnsi="Times New Roman" w:cs="Times New Roman"/>
        </w:rPr>
        <w:t xml:space="preserve"> </w:t>
      </w:r>
      <w:r>
        <w:rPr>
          <w:rFonts w:ascii="Times New Roman" w:eastAsia="Times New Roman" w:hAnsi="Times New Roman" w:cs="Times New Roman"/>
          <w:sz w:val="28"/>
          <w:szCs w:val="28"/>
        </w:rPr>
        <w:t>органами субъекта Российской Федерации и финансируемыми ими</w:t>
      </w:r>
      <w:r>
        <w:rPr>
          <w:rFonts w:ascii="Times New Roman" w:eastAsia="Times New Roman" w:hAnsi="Times New Roman" w:cs="Times New Roman"/>
        </w:rPr>
        <w:t xml:space="preserve"> </w:t>
      </w:r>
      <w:r>
        <w:rPr>
          <w:rFonts w:ascii="Times New Roman" w:eastAsia="Times New Roman" w:hAnsi="Times New Roman" w:cs="Times New Roman"/>
          <w:sz w:val="28"/>
          <w:szCs w:val="28"/>
        </w:rPr>
        <w:t>организациями, человек».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lastRenderedPageBreak/>
        <w:t>По состоянию на 30 декабря 2025 года уровень достижения показателя составил: 19363 чел. (111%) при плановом значении</w:t>
      </w:r>
      <w:r>
        <w:rPr>
          <w:rFonts w:ascii="Times New Roman" w:eastAsia="Times New Roman" w:hAnsi="Times New Roman" w:cs="Times New Roman"/>
        </w:rPr>
        <w:t xml:space="preserve"> </w:t>
      </w:r>
      <w:r>
        <w:rPr>
          <w:rFonts w:ascii="Times New Roman" w:eastAsia="Times New Roman" w:hAnsi="Times New Roman" w:cs="Times New Roman"/>
          <w:sz w:val="28"/>
          <w:szCs w:val="28"/>
        </w:rPr>
        <w:t>17345 чел., в период с января по декабрь на территории округа проведено 160 мероприятий по данному направлению;</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2. Показатель ФП «Россия – страна возможностей» – «Фактическая</w:t>
      </w:r>
      <w:r>
        <w:rPr>
          <w:rFonts w:ascii="Times New Roman" w:eastAsia="Times New Roman" w:hAnsi="Times New Roman" w:cs="Times New Roman"/>
        </w:rPr>
        <w:t xml:space="preserve"> </w:t>
      </w:r>
      <w:r>
        <w:rPr>
          <w:rFonts w:ascii="Times New Roman" w:eastAsia="Times New Roman" w:hAnsi="Times New Roman" w:cs="Times New Roman"/>
          <w:sz w:val="28"/>
          <w:szCs w:val="28"/>
        </w:rPr>
        <w:t>численность молодых людей в возрасте от 14 до 35 лет включительно,</w:t>
      </w:r>
      <w:r>
        <w:rPr>
          <w:rFonts w:ascii="Times New Roman" w:eastAsia="Times New Roman" w:hAnsi="Times New Roman" w:cs="Times New Roman"/>
        </w:rPr>
        <w:t xml:space="preserve"> </w:t>
      </w:r>
      <w:r>
        <w:rPr>
          <w:rFonts w:ascii="Times New Roman" w:eastAsia="Times New Roman" w:hAnsi="Times New Roman" w:cs="Times New Roman"/>
          <w:sz w:val="28"/>
          <w:szCs w:val="28"/>
        </w:rPr>
        <w:t>принявших участие в проектах и программах, реализованных объектами</w:t>
      </w:r>
      <w:r>
        <w:rPr>
          <w:rFonts w:ascii="Times New Roman" w:eastAsia="Times New Roman" w:hAnsi="Times New Roman" w:cs="Times New Roman"/>
        </w:rPr>
        <w:t xml:space="preserve"> </w:t>
      </w:r>
      <w:r>
        <w:rPr>
          <w:rFonts w:ascii="Times New Roman" w:eastAsia="Times New Roman" w:hAnsi="Times New Roman" w:cs="Times New Roman"/>
          <w:sz w:val="28"/>
          <w:szCs w:val="28"/>
        </w:rPr>
        <w:t>инфраструктуры молодежной политики субъекта Российской Федерации,</w:t>
      </w:r>
      <w:r>
        <w:rPr>
          <w:rFonts w:ascii="Times New Roman" w:eastAsia="Times New Roman" w:hAnsi="Times New Roman" w:cs="Times New Roman"/>
        </w:rPr>
        <w:t xml:space="preserve"> </w:t>
      </w:r>
      <w:r>
        <w:rPr>
          <w:rFonts w:ascii="Times New Roman" w:eastAsia="Times New Roman" w:hAnsi="Times New Roman" w:cs="Times New Roman"/>
          <w:sz w:val="28"/>
          <w:szCs w:val="28"/>
        </w:rPr>
        <w:t>человек».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 состоянию на 30 декабря 2025 года уровень достижения показателя составил: 25178 чел. (109%) при плановом значении 22968 чел., в период с января по декабрь на территории округа проведено 126 мероприятия;</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3. Показатель ФП «Мы вместе» – «Общая численность молодых людей в</w:t>
      </w:r>
      <w:r>
        <w:rPr>
          <w:rFonts w:ascii="Times New Roman" w:eastAsia="Times New Roman" w:hAnsi="Times New Roman" w:cs="Times New Roman"/>
        </w:rPr>
        <w:t xml:space="preserve"> </w:t>
      </w:r>
      <w:r>
        <w:rPr>
          <w:rFonts w:ascii="Times New Roman" w:eastAsia="Times New Roman" w:hAnsi="Times New Roman" w:cs="Times New Roman"/>
          <w:sz w:val="28"/>
          <w:szCs w:val="28"/>
        </w:rPr>
        <w:t>возрасте от 14 до 35 лет включительно, принявших участие в проектах и</w:t>
      </w:r>
      <w:r>
        <w:rPr>
          <w:rFonts w:ascii="Times New Roman" w:eastAsia="Times New Roman" w:hAnsi="Times New Roman" w:cs="Times New Roman"/>
        </w:rPr>
        <w:t xml:space="preserve"> </w:t>
      </w:r>
      <w:r>
        <w:rPr>
          <w:rFonts w:ascii="Times New Roman" w:eastAsia="Times New Roman" w:hAnsi="Times New Roman" w:cs="Times New Roman"/>
          <w:sz w:val="28"/>
          <w:szCs w:val="28"/>
        </w:rPr>
        <w:t>программах, направленных на патриотическое воспитание, реализованных</w:t>
      </w:r>
      <w:r>
        <w:rPr>
          <w:rFonts w:ascii="Times New Roman" w:eastAsia="Times New Roman" w:hAnsi="Times New Roman" w:cs="Times New Roman"/>
        </w:rPr>
        <w:t xml:space="preserve"> </w:t>
      </w:r>
      <w:r>
        <w:rPr>
          <w:rFonts w:ascii="Times New Roman" w:eastAsia="Times New Roman" w:hAnsi="Times New Roman" w:cs="Times New Roman"/>
          <w:sz w:val="28"/>
          <w:szCs w:val="28"/>
        </w:rPr>
        <w:t>органами местного самоуправления, исполнительными органами субъекта</w:t>
      </w:r>
      <w:r>
        <w:rPr>
          <w:rFonts w:ascii="Times New Roman" w:eastAsia="Times New Roman" w:hAnsi="Times New Roman" w:cs="Times New Roman"/>
        </w:rPr>
        <w:t xml:space="preserve"> </w:t>
      </w:r>
      <w:r>
        <w:rPr>
          <w:rFonts w:ascii="Times New Roman" w:eastAsia="Times New Roman" w:hAnsi="Times New Roman" w:cs="Times New Roman"/>
          <w:sz w:val="28"/>
          <w:szCs w:val="28"/>
        </w:rPr>
        <w:t>Российской Федерации и финансируемыми ими организациями, человек»</w:t>
      </w:r>
      <w:r>
        <w:rPr>
          <w:rFonts w:ascii="Times New Roman" w:eastAsia="Times New Roman" w:hAnsi="Times New Roman" w:cs="Times New Roman"/>
        </w:rPr>
        <w:t>.</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 состоянию на 30 декабря 2025 года уровень достижения показателя составил: 35702 чел. (104%), при плановом значении</w:t>
      </w:r>
      <w:r>
        <w:rPr>
          <w:rFonts w:ascii="Times New Roman" w:eastAsia="Times New Roman" w:hAnsi="Times New Roman" w:cs="Times New Roman"/>
        </w:rPr>
        <w:t xml:space="preserve"> </w:t>
      </w:r>
      <w:r>
        <w:rPr>
          <w:rFonts w:ascii="Times New Roman" w:eastAsia="Times New Roman" w:hAnsi="Times New Roman" w:cs="Times New Roman"/>
          <w:sz w:val="28"/>
          <w:szCs w:val="28"/>
        </w:rPr>
        <w:t>34090 чел., в период с января по декабрь на территории округа проведено 137 мероприятий;</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4. Показатель НП «Молодежь и дети» – «Общая численность населения субъекта Российской Федерации в возрасте от 14 до 35 лет включительно,</w:t>
      </w:r>
      <w:r>
        <w:rPr>
          <w:rFonts w:ascii="Times New Roman" w:eastAsia="Times New Roman" w:hAnsi="Times New Roman" w:cs="Times New Roman"/>
        </w:rPr>
        <w:t xml:space="preserve">  </w:t>
      </w:r>
      <w:r>
        <w:rPr>
          <w:rFonts w:ascii="Times New Roman" w:eastAsia="Times New Roman" w:hAnsi="Times New Roman" w:cs="Times New Roman"/>
          <w:sz w:val="28"/>
          <w:szCs w:val="28"/>
        </w:rPr>
        <w:t>вовлеченного в добровольческую и общественную деятельность в России,</w:t>
      </w:r>
      <w:r>
        <w:rPr>
          <w:rFonts w:ascii="Times New Roman" w:eastAsia="Times New Roman" w:hAnsi="Times New Roman" w:cs="Times New Roman"/>
        </w:rPr>
        <w:t xml:space="preserve"> </w:t>
      </w:r>
      <w:r>
        <w:rPr>
          <w:rFonts w:ascii="Times New Roman" w:eastAsia="Times New Roman" w:hAnsi="Times New Roman" w:cs="Times New Roman"/>
          <w:sz w:val="28"/>
          <w:szCs w:val="28"/>
        </w:rPr>
        <w:t>человек».</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 состоянию на 30 декабря 2025 года уровень достижения показателя составил: 24888 чел. (110%), при плановом значении 22495 чел., в период с января по декабрь на территории округа проведено 190 мероприятий.</w:t>
      </w:r>
    </w:p>
    <w:p w:rsidR="00B52DE3" w:rsidRDefault="00DE73E3">
      <w:pPr>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themeColor="dark1"/>
          <w:sz w:val="28"/>
          <w:szCs w:val="28"/>
        </w:rPr>
        <w:t xml:space="preserve">В целях оказания поддержки молодым семьям в решении жилищного вопроса, в рамках реализации муниципальной программы «Обеспечение </w:t>
      </w:r>
      <w:r>
        <w:rPr>
          <w:rFonts w:ascii="Times New Roman" w:eastAsia="Times New Roman" w:hAnsi="Times New Roman" w:cs="Times New Roman"/>
          <w:color w:val="000000" w:themeColor="dark1"/>
          <w:sz w:val="28"/>
          <w:szCs w:val="28"/>
        </w:rPr>
        <w:lastRenderedPageBreak/>
        <w:t>жильем молодых семей Уссурийского городского округа» на 2021-2027 годы», утвержденной постановлением администрации Уссурийского городского округа Приморского края от 01 декабря 2020 года № 2590-НПА (далее – Программа) с февраля по декабрь 2025 года через федеральную государственную информационную систему «Единый портал государственных и муниципальных услуг (функций)» (государственную информационную систему Приморского края «Региональный портал государственных и муниципальных услуг Приморского края» (далее – Региональный портал) организован прием документов от молодых семей для участия в Программе в 2027 году. В течение двенадцати месяцев 2025 года через Региональный портал принято документов от 2 молодых семей, желающих получить социальную выплату на приобретение жилья в 2027 году. Сформировано 9 Постановлений администрации Уссурийского городского округа Приморского края «О признании семьи, имеющей доходы для оплаты стоимости жилья, превышающей размер социальной выплаты». Выдано 12 свидетельств о праве на получение социальных выплат молодым семьям-претендентам на получение социальной выплаты в 2025 году. В течение четырех кварталов текущего года 12 молодых семей реализовали социальные выплаты на улучшение жилищных условий в полном объеме.</w:t>
      </w:r>
    </w:p>
    <w:p w:rsidR="00B52DE3" w:rsidRDefault="00B52DE3">
      <w:pPr>
        <w:ind w:firstLine="709"/>
        <w:jc w:val="both"/>
        <w:outlineLvl w:val="0"/>
        <w:rPr>
          <w:rFonts w:ascii="Times New Roman" w:hAnsi="Times New Roman" w:cs="Times New Roman"/>
          <w:iCs/>
          <w:sz w:val="28"/>
          <w:szCs w:val="28"/>
        </w:rPr>
      </w:pPr>
    </w:p>
    <w:p w:rsidR="00B52DE3" w:rsidRDefault="00DE73E3">
      <w:pPr>
        <w:pStyle w:val="1fe"/>
        <w:keepNext w:val="0"/>
        <w:keepLines w:val="0"/>
        <w:spacing w:before="0" w:line="240" w:lineRule="auto"/>
      </w:pPr>
      <w:bookmarkStart w:id="124" w:name="_Toc112"/>
      <w:r>
        <w:rPr>
          <w:rFonts w:eastAsia="Times New Roman"/>
        </w:rPr>
        <w:t>ОСУЩЕСТВЛЕНИЕ МУНИЦИПАЛЬНОГО ЛЕСНОГО КОНТРОЛЯ</w:t>
      </w:r>
      <w:bookmarkEnd w:id="124"/>
    </w:p>
    <w:p w:rsidR="00B52DE3" w:rsidRDefault="00B52DE3">
      <w:pPr>
        <w:pStyle w:val="1fe"/>
        <w:spacing w:before="0" w:line="240" w:lineRule="auto"/>
        <w:rPr>
          <w:rFonts w:eastAsia="Times New Roman"/>
        </w:rPr>
      </w:pPr>
    </w:p>
    <w:p w:rsidR="00B52DE3" w:rsidRDefault="00DE73E3">
      <w:pPr>
        <w:pStyle w:val="afff3"/>
        <w:widowControl w:val="0"/>
        <w:spacing w:before="0"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Проводилась работа по предупреждению и профилактике нарушений обязательных требований, требований, установленных муниципальными правовыми актами юридическими лицами и индивидуальными предпринимателями на лесных участках, находящихся в муниципальной собственности на территории Уссурийского городского округа, включая устранение причин, факторов и условий, способствующих возможному нарушению обязательных требований, требований муниципальных правовых </w:t>
      </w:r>
      <w:r>
        <w:rPr>
          <w:rFonts w:ascii="Times New Roman" w:eastAsia="Times New Roman" w:hAnsi="Times New Roman" w:cs="Times New Roman"/>
          <w:sz w:val="28"/>
          <w:szCs w:val="28"/>
        </w:rPr>
        <w:lastRenderedPageBreak/>
        <w:t>актов в области использования, охраны, защиты, воспроизводства и лесоразведения городских лесов, расположенных на землях населенных пунктов в границах Уссурийского городского округа, возникновения природных пожаров и недопущения распространения возникших палов на сельских территориях.</w:t>
      </w:r>
    </w:p>
    <w:p w:rsidR="00B52DE3" w:rsidRDefault="00B52DE3">
      <w:pPr>
        <w:widowControl w:val="0"/>
        <w:tabs>
          <w:tab w:val="left" w:pos="2865"/>
        </w:tabs>
        <w:spacing w:after="0" w:line="360" w:lineRule="auto"/>
        <w:ind w:firstLine="709"/>
        <w:jc w:val="both"/>
        <w:rPr>
          <w:rFonts w:ascii="Times New Roman" w:hAnsi="Times New Roman" w:cs="Times New Roman"/>
        </w:rPr>
      </w:pPr>
    </w:p>
    <w:p w:rsidR="00B52DE3" w:rsidRDefault="00DE73E3">
      <w:pPr>
        <w:pStyle w:val="1fe"/>
        <w:keepNext w:val="0"/>
        <w:keepLines w:val="0"/>
        <w:spacing w:before="0" w:line="240" w:lineRule="auto"/>
      </w:pPr>
      <w:bookmarkStart w:id="125" w:name="_Toc113"/>
      <w:r>
        <w:rPr>
          <w:rFonts w:eastAsia="Times New Roman"/>
        </w:rPr>
        <w:t>ИСПОЛНЕНИЕ ПОЛНОМОЧИЙ ОРГАНОВ МЕСТНОГО САМОУПРАВЛЕНИЯ В ОБЛАСТИ РЕАЛИЗАЦИИ МУНИЦИПАЛЬНЫХ ПРОГРАММ НА ТЕРРИТОРИИ УССУРИЙСКОГО ГОРОДСКОГО ОКРУГА</w:t>
      </w:r>
      <w:bookmarkEnd w:id="125"/>
    </w:p>
    <w:p w:rsidR="00B52DE3" w:rsidRDefault="00B52DE3">
      <w:pPr>
        <w:widowControl w:val="0"/>
        <w:spacing w:after="0" w:line="240" w:lineRule="auto"/>
        <w:jc w:val="center"/>
        <w:rPr>
          <w:rFonts w:ascii="Times New Roman" w:hAnsi="Times New Roman" w:cs="Times New Roman"/>
          <w:b/>
          <w:bCs/>
          <w:caps/>
          <w:sz w:val="28"/>
          <w:szCs w:val="28"/>
        </w:rPr>
      </w:pPr>
    </w:p>
    <w:p w:rsidR="00B52DE3" w:rsidRDefault="00B52DE3">
      <w:pPr>
        <w:widowControl w:val="0"/>
        <w:spacing w:after="0" w:line="240" w:lineRule="auto"/>
        <w:jc w:val="center"/>
        <w:rPr>
          <w:rFonts w:ascii="Times New Roman" w:hAnsi="Times New Roman" w:cs="Times New Roman"/>
          <w:b/>
          <w:bCs/>
          <w:caps/>
          <w:sz w:val="28"/>
          <w:szCs w:val="28"/>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в рамках исполнения полномочий органов местного самоуправления было обеспечено финансирование расходов по мероприятиям 28 муниципальных программ в разрезе следующих сфер:</w:t>
      </w:r>
    </w:p>
    <w:p w:rsidR="00B52DE3" w:rsidRDefault="00DE73E3">
      <w:pPr>
        <w:widowControl w:val="0"/>
        <w:spacing w:after="0" w:line="360" w:lineRule="auto"/>
        <w:ind w:firstLine="709"/>
        <w:rPr>
          <w:rFonts w:ascii="Times New Roman" w:hAnsi="Times New Roman" w:cs="Times New Roman"/>
        </w:rPr>
      </w:pPr>
      <w:r>
        <w:rPr>
          <w:rFonts w:ascii="Times New Roman" w:eastAsia="Times New Roman" w:hAnsi="Times New Roman" w:cs="Times New Roman"/>
          <w:sz w:val="28"/>
          <w:szCs w:val="28"/>
        </w:rPr>
        <w:t>в сфере экономики                                          – 3;</w:t>
      </w:r>
    </w:p>
    <w:p w:rsidR="00B52DE3" w:rsidRDefault="00DE73E3">
      <w:pPr>
        <w:widowControl w:val="0"/>
        <w:spacing w:after="0" w:line="360" w:lineRule="auto"/>
        <w:ind w:firstLine="709"/>
        <w:rPr>
          <w:rFonts w:ascii="Times New Roman" w:hAnsi="Times New Roman" w:cs="Times New Roman"/>
        </w:rPr>
      </w:pPr>
      <w:r>
        <w:rPr>
          <w:rFonts w:ascii="Times New Roman" w:eastAsia="Times New Roman" w:hAnsi="Times New Roman" w:cs="Times New Roman"/>
          <w:sz w:val="28"/>
          <w:szCs w:val="28"/>
        </w:rPr>
        <w:t>в сфере ЖКХ                                                    – 8;</w:t>
      </w:r>
    </w:p>
    <w:p w:rsidR="00B52DE3" w:rsidRDefault="00DE73E3">
      <w:pPr>
        <w:widowControl w:val="0"/>
        <w:spacing w:after="0" w:line="360" w:lineRule="auto"/>
        <w:ind w:firstLine="709"/>
        <w:rPr>
          <w:rFonts w:ascii="Times New Roman" w:hAnsi="Times New Roman" w:cs="Times New Roman"/>
        </w:rPr>
      </w:pPr>
      <w:r>
        <w:rPr>
          <w:rFonts w:ascii="Times New Roman" w:eastAsia="Times New Roman" w:hAnsi="Times New Roman" w:cs="Times New Roman"/>
          <w:sz w:val="28"/>
          <w:szCs w:val="28"/>
        </w:rPr>
        <w:t>в сфере обеспечения доступным жильем     – 4;</w:t>
      </w:r>
    </w:p>
    <w:p w:rsidR="00B52DE3" w:rsidRDefault="00DE73E3">
      <w:pPr>
        <w:widowControl w:val="0"/>
        <w:spacing w:after="0" w:line="360" w:lineRule="auto"/>
        <w:ind w:firstLine="709"/>
        <w:rPr>
          <w:rFonts w:ascii="Times New Roman" w:hAnsi="Times New Roman" w:cs="Times New Roman"/>
        </w:rPr>
      </w:pPr>
      <w:r>
        <w:rPr>
          <w:rFonts w:ascii="Times New Roman" w:eastAsia="Times New Roman" w:hAnsi="Times New Roman" w:cs="Times New Roman"/>
          <w:sz w:val="28"/>
          <w:szCs w:val="28"/>
        </w:rPr>
        <w:t>в сфере социальной поддержки                     – 2;</w:t>
      </w:r>
    </w:p>
    <w:p w:rsidR="00B52DE3" w:rsidRDefault="00DE73E3">
      <w:pPr>
        <w:widowControl w:val="0"/>
        <w:spacing w:after="0" w:line="360" w:lineRule="auto"/>
        <w:ind w:firstLine="709"/>
        <w:rPr>
          <w:rFonts w:ascii="Times New Roman" w:hAnsi="Times New Roman" w:cs="Times New Roman"/>
        </w:rPr>
      </w:pPr>
      <w:r>
        <w:rPr>
          <w:rFonts w:ascii="Times New Roman" w:eastAsia="Times New Roman" w:hAnsi="Times New Roman" w:cs="Times New Roman"/>
          <w:sz w:val="28"/>
          <w:szCs w:val="28"/>
        </w:rPr>
        <w:t>в сфере образования, спорта,</w:t>
      </w:r>
    </w:p>
    <w:p w:rsidR="00B52DE3" w:rsidRDefault="00DE73E3">
      <w:pPr>
        <w:widowControl w:val="0"/>
        <w:spacing w:after="0" w:line="360" w:lineRule="auto"/>
        <w:ind w:firstLine="709"/>
        <w:rPr>
          <w:rFonts w:ascii="Times New Roman" w:hAnsi="Times New Roman" w:cs="Times New Roman"/>
        </w:rPr>
      </w:pPr>
      <w:r>
        <w:rPr>
          <w:rFonts w:ascii="Times New Roman" w:eastAsia="Times New Roman" w:hAnsi="Times New Roman" w:cs="Times New Roman"/>
          <w:sz w:val="28"/>
          <w:szCs w:val="28"/>
        </w:rPr>
        <w:t>культуры  и  молодежной политики             – 4;</w:t>
      </w:r>
    </w:p>
    <w:p w:rsidR="00B52DE3" w:rsidRDefault="00DE73E3">
      <w:pPr>
        <w:widowControl w:val="0"/>
        <w:spacing w:after="0" w:line="360" w:lineRule="auto"/>
        <w:ind w:firstLine="709"/>
        <w:rPr>
          <w:rFonts w:ascii="Times New Roman" w:hAnsi="Times New Roman" w:cs="Times New Roman"/>
        </w:rPr>
      </w:pPr>
      <w:r>
        <w:rPr>
          <w:rFonts w:ascii="Times New Roman" w:eastAsia="Times New Roman" w:hAnsi="Times New Roman" w:cs="Times New Roman"/>
          <w:sz w:val="28"/>
          <w:szCs w:val="28"/>
        </w:rPr>
        <w:t>в сфере безопасности                                     – 2;</w:t>
      </w:r>
    </w:p>
    <w:p w:rsidR="00B52DE3" w:rsidRDefault="00DE73E3">
      <w:pPr>
        <w:widowControl w:val="0"/>
        <w:spacing w:after="0" w:line="360" w:lineRule="auto"/>
        <w:ind w:firstLine="709"/>
        <w:rPr>
          <w:rFonts w:ascii="Times New Roman" w:hAnsi="Times New Roman" w:cs="Times New Roman"/>
        </w:rPr>
      </w:pPr>
      <w:r>
        <w:rPr>
          <w:rFonts w:ascii="Times New Roman" w:eastAsia="Times New Roman" w:hAnsi="Times New Roman" w:cs="Times New Roman"/>
          <w:sz w:val="28"/>
          <w:szCs w:val="28"/>
        </w:rPr>
        <w:t>прочие программы                                          – 5</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По итогам 2025 года доля расходов бюджета, формируемых в рамках муниципальных программ, в общем объеме расходов местного бюджета составила 84,6%.</w:t>
      </w:r>
    </w:p>
    <w:p w:rsidR="00B52DE3" w:rsidRDefault="00DE73E3">
      <w:pPr>
        <w:pStyle w:val="1fe"/>
        <w:keepNext w:val="0"/>
        <w:keepLines w:val="0"/>
        <w:spacing w:line="240" w:lineRule="auto"/>
      </w:pPr>
      <w:bookmarkStart w:id="126" w:name="_Toc114"/>
      <w:r>
        <w:rPr>
          <w:rFonts w:eastAsia="Times New Roman"/>
        </w:rPr>
        <w:t>ИСПОЛНЕНИЕ ПОЛНОМОЧИЙ АДМИНИСТРАЦИИ ПО ОБЕСПЕЧЕНИЮ ИСПОЛНИТЕЛЬНО-РАСПОРЯДИТЕЛЬНЫХ ФУНКЦИЙ ПО ЭФФЕКТИВНОМУ РЕШЕНИЮ ВОПРОСОВ МЕСТНОГО ЗНАЧЕНИЯ В ИНТЕРЕСАХ НАСЕЛЕНИЯ УССУРИЙСКОГО ГОРОДСКОГО ОКРУГА.</w:t>
      </w:r>
      <w:bookmarkEnd w:id="126"/>
    </w:p>
    <w:p w:rsidR="00B52DE3" w:rsidRDefault="00B52DE3">
      <w:pPr>
        <w:widowControl w:val="0"/>
        <w:spacing w:after="0" w:line="360" w:lineRule="auto"/>
        <w:ind w:left="709"/>
        <w:jc w:val="center"/>
        <w:rPr>
          <w:rFonts w:ascii="Times New Roman" w:hAnsi="Times New Roman" w:cs="Times New Roman"/>
          <w:b/>
          <w:sz w:val="28"/>
          <w:szCs w:val="28"/>
        </w:rPr>
      </w:pPr>
    </w:p>
    <w:p w:rsidR="00B52DE3" w:rsidRDefault="00DE73E3">
      <w:pPr>
        <w:pStyle w:val="2f6"/>
        <w:keepNext w:val="0"/>
        <w:spacing w:before="0"/>
        <w:ind w:left="0"/>
      </w:pPr>
      <w:bookmarkStart w:id="127" w:name="_Toc115"/>
      <w:r>
        <w:lastRenderedPageBreak/>
        <w:t>Мероприятия по совершенствованию кадровой работы</w:t>
      </w:r>
      <w:bookmarkEnd w:id="127"/>
    </w:p>
    <w:p w:rsidR="00B52DE3" w:rsidRDefault="00B52DE3">
      <w:pPr>
        <w:pStyle w:val="afff0"/>
        <w:widowControl w:val="0"/>
        <w:spacing w:before="0" w:after="0" w:line="360" w:lineRule="auto"/>
        <w:ind w:firstLine="709"/>
        <w:jc w:val="both"/>
        <w:outlineLvl w:val="2"/>
      </w:pPr>
    </w:p>
    <w:p w:rsidR="00B52DE3" w:rsidRDefault="00DE73E3">
      <w:pPr>
        <w:widowControl w:val="0"/>
        <w:spacing w:after="0" w:line="360" w:lineRule="auto"/>
        <w:ind w:firstLine="709"/>
        <w:jc w:val="both"/>
        <w:outlineLvl w:val="1"/>
        <w:rPr>
          <w:rFonts w:ascii="Times New Roman" w:hAnsi="Times New Roman" w:cs="Times New Roman"/>
        </w:rPr>
      </w:pPr>
      <w:bookmarkStart w:id="128" w:name="_Toc117"/>
      <w:r>
        <w:rPr>
          <w:rFonts w:ascii="Times New Roman" w:eastAsia="Times New Roman" w:hAnsi="Times New Roman" w:cs="Times New Roman"/>
          <w:sz w:val="28"/>
          <w:szCs w:val="28"/>
        </w:rPr>
        <w:t xml:space="preserve">В 2025 году на должности муниципальной службы было принято                    43 человека (в 2024 году – 62 муниципальных служащих). </w:t>
      </w:r>
      <w:bookmarkEnd w:id="128"/>
    </w:p>
    <w:p w:rsidR="00B52DE3" w:rsidRDefault="00DE73E3">
      <w:pPr>
        <w:widowControl w:val="0"/>
        <w:spacing w:after="0" w:line="360" w:lineRule="auto"/>
        <w:ind w:firstLine="709"/>
        <w:jc w:val="both"/>
        <w:outlineLvl w:val="1"/>
        <w:rPr>
          <w:rFonts w:ascii="Times New Roman" w:hAnsi="Times New Roman" w:cs="Times New Roman"/>
        </w:rPr>
      </w:pPr>
      <w:bookmarkStart w:id="129" w:name="_Toc118"/>
      <w:r>
        <w:rPr>
          <w:rFonts w:ascii="Times New Roman" w:eastAsia="Times New Roman" w:hAnsi="Times New Roman" w:cs="Times New Roman"/>
          <w:sz w:val="28"/>
          <w:szCs w:val="28"/>
        </w:rPr>
        <w:t>В 2025 году деятельность отдела муниципальной службы и кадров осуществлялась в рамках двух муниципальных программ: «Развитие муниципальной службы в администрации Уссурийского городского округа» на 2023 – 2027 годы; «Противодействие коррупции на территории Уссурийского городского округа» на 2022 – 2027 годы.</w:t>
      </w:r>
      <w:bookmarkEnd w:id="129"/>
    </w:p>
    <w:p w:rsidR="00B52DE3" w:rsidRDefault="00DE73E3">
      <w:pPr>
        <w:widowControl w:val="0"/>
        <w:spacing w:after="0" w:line="360" w:lineRule="auto"/>
        <w:ind w:firstLine="709"/>
        <w:jc w:val="both"/>
        <w:outlineLvl w:val="1"/>
        <w:rPr>
          <w:rFonts w:ascii="Times New Roman" w:hAnsi="Times New Roman" w:cs="Times New Roman"/>
        </w:rPr>
      </w:pPr>
      <w:bookmarkStart w:id="130" w:name="_Toc119"/>
      <w:r>
        <w:rPr>
          <w:rFonts w:ascii="Times New Roman" w:eastAsia="Times New Roman" w:hAnsi="Times New Roman" w:cs="Times New Roman"/>
          <w:sz w:val="28"/>
          <w:szCs w:val="28"/>
        </w:rPr>
        <w:t>Во исполнение муниципальной программы «Развитие муниципальной службы в администрации Уссурийского городского округа» на 2023 – 2027 годы» проведена следующая работа:</w:t>
      </w:r>
      <w:bookmarkEnd w:id="130"/>
    </w:p>
    <w:p w:rsidR="00B52DE3" w:rsidRDefault="00DE73E3">
      <w:pPr>
        <w:widowControl w:val="0"/>
        <w:spacing w:after="0" w:line="36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были внесены изменения в решение Думы Уссурийского городского округа Приморского края от 29 сентября 2009 года № 102 «О структуре администрации Уссурийского городского округа» (далее – структура администрации),   в структуре администрации была исключена должность «Первый заместитель главы администрации» и введена должность «Заместитель главы администрации по финансовым вопросам – начальник финансового управления». Данные изменения позволили под руководством указанного должностного лица усилить контроль и улучшить взаимодействие функциональных подразделений «финансового блока» -</w:t>
      </w:r>
      <w:r>
        <w:rPr>
          <w:rFonts w:ascii="Times New Roman" w:eastAsia="Times New Roman" w:hAnsi="Times New Roman" w:cs="Times New Roman"/>
          <w:sz w:val="28"/>
          <w:szCs w:val="28"/>
          <w:lang w:eastAsia="ru-RU"/>
        </w:rPr>
        <w:t xml:space="preserve"> финансового управления администрации (с правом юридического лица), управление бухгалтерского учета и отчетности администрации, управление экономического развития администрации;</w:t>
      </w:r>
    </w:p>
    <w:p w:rsidR="00B52DE3" w:rsidRDefault="00DE73E3">
      <w:pPr>
        <w:widowControl w:val="0"/>
        <w:spacing w:after="0" w:line="36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также были внесены изменения в структуру администрации, в результате отдел пресс-службы был исключен из структуры управления культуры (с правом юридического лица) и включен в аппарат администрации, в состав управлений (отделов) которыми руководит  заместитель главы администрации, руководитель аппарата администрации.</w:t>
      </w:r>
    </w:p>
    <w:p w:rsidR="00B52DE3" w:rsidRDefault="00B52DE3">
      <w:pPr>
        <w:widowControl w:val="0"/>
        <w:spacing w:after="0" w:line="240" w:lineRule="auto"/>
        <w:ind w:firstLine="709"/>
        <w:jc w:val="center"/>
        <w:outlineLvl w:val="1"/>
        <w:rPr>
          <w:rFonts w:ascii="Times New Roman" w:hAnsi="Times New Roman" w:cs="Times New Roman"/>
        </w:rPr>
      </w:pPr>
    </w:p>
    <w:p w:rsidR="00B52DE3" w:rsidRDefault="00DE73E3">
      <w:pPr>
        <w:widowControl w:val="0"/>
        <w:spacing w:after="0" w:line="240" w:lineRule="auto"/>
        <w:ind w:firstLine="709"/>
        <w:jc w:val="center"/>
        <w:outlineLvl w:val="1"/>
        <w:rPr>
          <w:rFonts w:ascii="Times New Roman" w:hAnsi="Times New Roman" w:cs="Times New Roman"/>
        </w:rPr>
      </w:pPr>
      <w:bookmarkStart w:id="131" w:name="_Toc120"/>
      <w:r>
        <w:rPr>
          <w:rFonts w:ascii="Times New Roman" w:eastAsia="Times New Roman" w:hAnsi="Times New Roman" w:cs="Times New Roman"/>
          <w:b/>
          <w:bCs/>
          <w:sz w:val="28"/>
          <w:szCs w:val="28"/>
        </w:rPr>
        <w:t>Сравнительная информация о формировании кадрового состава для замещения должностей муниципальной службы в администрации Уссурийского городского округа в 2024-2025 годах</w:t>
      </w:r>
      <w:bookmarkEnd w:id="131"/>
    </w:p>
    <w:p w:rsidR="00B52DE3" w:rsidRDefault="00B52DE3">
      <w:pPr>
        <w:widowControl w:val="0"/>
        <w:spacing w:after="0" w:line="240" w:lineRule="auto"/>
        <w:ind w:firstLine="709"/>
        <w:jc w:val="center"/>
        <w:outlineLvl w:val="1"/>
        <w:rPr>
          <w:rFonts w:ascii="Times New Roman" w:hAnsi="Times New Roman" w:cs="Times New Roman"/>
        </w:rPr>
      </w:pPr>
    </w:p>
    <w:p w:rsidR="00B52DE3" w:rsidRDefault="00B52DE3">
      <w:pPr>
        <w:widowControl w:val="0"/>
        <w:spacing w:after="0" w:line="240" w:lineRule="auto"/>
        <w:outlineLvl w:val="1"/>
        <w:rPr>
          <w:rFonts w:ascii="Times New Roman" w:hAnsi="Times New Roman" w:cs="Times New Roman"/>
        </w:rPr>
      </w:pPr>
    </w:p>
    <w:tbl>
      <w:tblPr>
        <w:tblW w:w="9569" w:type="dxa"/>
        <w:tblInd w:w="-113" w:type="dxa"/>
        <w:tblLayout w:type="fixed"/>
        <w:tblLook w:val="04A0"/>
      </w:tblPr>
      <w:tblGrid>
        <w:gridCol w:w="667"/>
        <w:gridCol w:w="3835"/>
        <w:gridCol w:w="2559"/>
        <w:gridCol w:w="2508"/>
      </w:tblGrid>
      <w:tr w:rsidR="00B52DE3">
        <w:trPr>
          <w:tblHeader/>
        </w:trPr>
        <w:tc>
          <w:tcPr>
            <w:tcW w:w="66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w:t>
            </w:r>
            <w:proofErr w:type="spellEnd"/>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п</w:t>
            </w:r>
            <w:proofErr w:type="spellEnd"/>
          </w:p>
        </w:tc>
        <w:tc>
          <w:tcPr>
            <w:tcW w:w="383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Группа должностей муниципальной службы</w:t>
            </w:r>
          </w:p>
        </w:tc>
        <w:tc>
          <w:tcPr>
            <w:tcW w:w="2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Количество сотрудников принятых в 2024 году</w:t>
            </w:r>
          </w:p>
        </w:tc>
        <w:tc>
          <w:tcPr>
            <w:tcW w:w="2508"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8"/>
                <w:szCs w:val="28"/>
                <w:lang w:eastAsia="ru-RU"/>
              </w:rPr>
              <w:t>Количество сотрудников принятых в 2025 году</w:t>
            </w:r>
          </w:p>
        </w:tc>
      </w:tr>
      <w:tr w:rsidR="00B52DE3">
        <w:tc>
          <w:tcPr>
            <w:tcW w:w="66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1</w:t>
            </w:r>
          </w:p>
        </w:tc>
        <w:tc>
          <w:tcPr>
            <w:tcW w:w="383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2</w:t>
            </w:r>
          </w:p>
        </w:tc>
        <w:tc>
          <w:tcPr>
            <w:tcW w:w="2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3</w:t>
            </w:r>
          </w:p>
        </w:tc>
        <w:tc>
          <w:tcPr>
            <w:tcW w:w="2508"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4</w:t>
            </w:r>
          </w:p>
        </w:tc>
      </w:tr>
      <w:tr w:rsidR="00B52DE3">
        <w:tc>
          <w:tcPr>
            <w:tcW w:w="66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1.</w:t>
            </w:r>
          </w:p>
        </w:tc>
        <w:tc>
          <w:tcPr>
            <w:tcW w:w="383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both"/>
              <w:rPr>
                <w:rFonts w:ascii="Times New Roman" w:hAnsi="Times New Roman" w:cs="Times New Roman"/>
              </w:rPr>
            </w:pPr>
            <w:r>
              <w:rPr>
                <w:rFonts w:ascii="Times New Roman" w:eastAsia="Times New Roman" w:hAnsi="Times New Roman" w:cs="Times New Roman"/>
                <w:sz w:val="28"/>
                <w:szCs w:val="28"/>
                <w:lang w:eastAsia="ru-RU"/>
              </w:rPr>
              <w:t>высшая группа должностей</w:t>
            </w:r>
          </w:p>
        </w:tc>
        <w:tc>
          <w:tcPr>
            <w:tcW w:w="2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8</w:t>
            </w:r>
          </w:p>
        </w:tc>
        <w:tc>
          <w:tcPr>
            <w:tcW w:w="2508"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0</w:t>
            </w:r>
          </w:p>
        </w:tc>
      </w:tr>
      <w:tr w:rsidR="00B52DE3">
        <w:tc>
          <w:tcPr>
            <w:tcW w:w="66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2.</w:t>
            </w:r>
          </w:p>
        </w:tc>
        <w:tc>
          <w:tcPr>
            <w:tcW w:w="383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both"/>
              <w:rPr>
                <w:rFonts w:ascii="Times New Roman" w:hAnsi="Times New Roman" w:cs="Times New Roman"/>
              </w:rPr>
            </w:pPr>
            <w:r>
              <w:rPr>
                <w:rFonts w:ascii="Times New Roman" w:eastAsia="Times New Roman" w:hAnsi="Times New Roman" w:cs="Times New Roman"/>
                <w:sz w:val="28"/>
                <w:szCs w:val="28"/>
                <w:lang w:eastAsia="ru-RU"/>
              </w:rPr>
              <w:t>главная группа должностей</w:t>
            </w:r>
          </w:p>
        </w:tc>
        <w:tc>
          <w:tcPr>
            <w:tcW w:w="2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14</w:t>
            </w:r>
          </w:p>
        </w:tc>
        <w:tc>
          <w:tcPr>
            <w:tcW w:w="2508"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9</w:t>
            </w:r>
          </w:p>
        </w:tc>
      </w:tr>
      <w:tr w:rsidR="00B52DE3">
        <w:tc>
          <w:tcPr>
            <w:tcW w:w="66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3.</w:t>
            </w:r>
          </w:p>
        </w:tc>
        <w:tc>
          <w:tcPr>
            <w:tcW w:w="383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both"/>
              <w:rPr>
                <w:rFonts w:ascii="Times New Roman" w:hAnsi="Times New Roman" w:cs="Times New Roman"/>
              </w:rPr>
            </w:pPr>
            <w:r>
              <w:rPr>
                <w:rFonts w:ascii="Times New Roman" w:eastAsia="Times New Roman" w:hAnsi="Times New Roman" w:cs="Times New Roman"/>
                <w:sz w:val="28"/>
                <w:szCs w:val="28"/>
                <w:lang w:eastAsia="ru-RU"/>
              </w:rPr>
              <w:t>ведущая группа должностей</w:t>
            </w:r>
          </w:p>
        </w:tc>
        <w:tc>
          <w:tcPr>
            <w:tcW w:w="2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40</w:t>
            </w:r>
          </w:p>
        </w:tc>
        <w:tc>
          <w:tcPr>
            <w:tcW w:w="2508"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34</w:t>
            </w:r>
          </w:p>
        </w:tc>
      </w:tr>
      <w:tr w:rsidR="00B52DE3">
        <w:tc>
          <w:tcPr>
            <w:tcW w:w="66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4.</w:t>
            </w:r>
          </w:p>
        </w:tc>
        <w:tc>
          <w:tcPr>
            <w:tcW w:w="383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both"/>
              <w:rPr>
                <w:rFonts w:ascii="Times New Roman" w:hAnsi="Times New Roman" w:cs="Times New Roman"/>
              </w:rPr>
            </w:pPr>
            <w:r>
              <w:rPr>
                <w:rFonts w:ascii="Times New Roman" w:eastAsia="Times New Roman" w:hAnsi="Times New Roman" w:cs="Times New Roman"/>
                <w:sz w:val="28"/>
                <w:szCs w:val="28"/>
                <w:lang w:eastAsia="ru-RU"/>
              </w:rPr>
              <w:t>старшая группа должностей</w:t>
            </w:r>
          </w:p>
        </w:tc>
        <w:tc>
          <w:tcPr>
            <w:tcW w:w="2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0</w:t>
            </w:r>
          </w:p>
        </w:tc>
        <w:tc>
          <w:tcPr>
            <w:tcW w:w="2508"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360" w:lineRule="auto"/>
              <w:jc w:val="center"/>
              <w:rPr>
                <w:rFonts w:ascii="Times New Roman" w:hAnsi="Times New Roman" w:cs="Times New Roman"/>
              </w:rPr>
            </w:pPr>
            <w:r>
              <w:rPr>
                <w:rFonts w:ascii="Times New Roman" w:eastAsia="Times New Roman" w:hAnsi="Times New Roman" w:cs="Times New Roman"/>
                <w:sz w:val="28"/>
                <w:szCs w:val="28"/>
                <w:lang w:eastAsia="ru-RU"/>
              </w:rPr>
              <w:t>0</w:t>
            </w:r>
          </w:p>
        </w:tc>
      </w:tr>
    </w:tbl>
    <w:p w:rsidR="00B52DE3" w:rsidRDefault="00B52DE3">
      <w:pPr>
        <w:widowControl w:val="0"/>
        <w:spacing w:after="0" w:line="360" w:lineRule="auto"/>
        <w:ind w:firstLine="708"/>
        <w:jc w:val="both"/>
        <w:outlineLvl w:val="1"/>
        <w:rPr>
          <w:rFonts w:ascii="Times New Roman" w:hAnsi="Times New Roman" w:cs="Times New Roman"/>
        </w:rPr>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sz w:val="28"/>
          <w:szCs w:val="28"/>
          <w:lang w:eastAsia="ru-RU"/>
        </w:rPr>
        <w:t>Кроме того, в 2025 году на должности, не отнесенные к должностям муниципальной службы, принято 12 граждан (АППГ – 7).</w:t>
      </w:r>
    </w:p>
    <w:p w:rsidR="00B52DE3" w:rsidRDefault="00DE73E3">
      <w:pPr>
        <w:widowControl w:val="0"/>
        <w:spacing w:after="0" w:line="360" w:lineRule="auto"/>
        <w:ind w:firstLine="708"/>
        <w:jc w:val="both"/>
        <w:outlineLvl w:val="1"/>
        <w:rPr>
          <w:rFonts w:ascii="Times New Roman" w:hAnsi="Times New Roman" w:cs="Times New Roman"/>
        </w:rPr>
      </w:pPr>
      <w:bookmarkStart w:id="132" w:name="_Toc121"/>
      <w:r>
        <w:rPr>
          <w:rFonts w:ascii="Times New Roman" w:eastAsia="Times New Roman" w:hAnsi="Times New Roman" w:cs="Times New Roman"/>
          <w:sz w:val="28"/>
          <w:szCs w:val="28"/>
        </w:rPr>
        <w:t>Штатная численность администрации Уссурийского городского округа Приморского края составляет 361 единиц (в 2024 году – 356 единиц).</w:t>
      </w:r>
      <w:bookmarkEnd w:id="132"/>
    </w:p>
    <w:p w:rsidR="00B52DE3" w:rsidRDefault="00DE73E3">
      <w:pPr>
        <w:widowControl w:val="0"/>
        <w:spacing w:after="0" w:line="360" w:lineRule="auto"/>
        <w:ind w:firstLine="708"/>
        <w:jc w:val="both"/>
        <w:outlineLvl w:val="1"/>
        <w:rPr>
          <w:rFonts w:ascii="Times New Roman" w:hAnsi="Times New Roman" w:cs="Times New Roman"/>
        </w:rPr>
      </w:pPr>
      <w:bookmarkStart w:id="133" w:name="_Toc122"/>
      <w:r>
        <w:rPr>
          <w:rFonts w:ascii="Times New Roman" w:eastAsia="Times New Roman" w:hAnsi="Times New Roman" w:cs="Times New Roman"/>
          <w:sz w:val="28"/>
          <w:szCs w:val="28"/>
        </w:rPr>
        <w:t>В настоящее время в администрации Уссурийского городского округа работают:</w:t>
      </w:r>
      <w:bookmarkEnd w:id="133"/>
    </w:p>
    <w:p w:rsidR="00B52DE3" w:rsidRDefault="00DE73E3">
      <w:pPr>
        <w:widowControl w:val="0"/>
        <w:spacing w:after="0" w:line="360" w:lineRule="auto"/>
        <w:ind w:firstLine="708"/>
        <w:jc w:val="both"/>
        <w:outlineLvl w:val="1"/>
        <w:rPr>
          <w:rFonts w:ascii="Times New Roman" w:hAnsi="Times New Roman" w:cs="Times New Roman"/>
        </w:rPr>
      </w:pPr>
      <w:bookmarkStart w:id="134" w:name="_Toc123"/>
      <w:r>
        <w:rPr>
          <w:rFonts w:ascii="Times New Roman" w:eastAsia="Times New Roman" w:hAnsi="Times New Roman" w:cs="Times New Roman"/>
          <w:sz w:val="28"/>
          <w:szCs w:val="28"/>
        </w:rPr>
        <w:t>до 30 лет – 14 % сотрудников (в 2024 году –13 %);</w:t>
      </w:r>
      <w:bookmarkEnd w:id="134"/>
    </w:p>
    <w:p w:rsidR="00B52DE3" w:rsidRDefault="00DE73E3">
      <w:pPr>
        <w:widowControl w:val="0"/>
        <w:spacing w:after="0" w:line="360" w:lineRule="auto"/>
        <w:ind w:firstLine="708"/>
        <w:jc w:val="both"/>
        <w:outlineLvl w:val="1"/>
        <w:rPr>
          <w:rFonts w:ascii="Times New Roman" w:hAnsi="Times New Roman" w:cs="Times New Roman"/>
        </w:rPr>
      </w:pPr>
      <w:bookmarkStart w:id="135" w:name="_Toc124"/>
      <w:r>
        <w:rPr>
          <w:rFonts w:ascii="Times New Roman" w:eastAsia="Times New Roman" w:hAnsi="Times New Roman" w:cs="Times New Roman"/>
          <w:sz w:val="28"/>
          <w:szCs w:val="28"/>
        </w:rPr>
        <w:t>от 30 до 39 лет – 35,8 %  сотрудников (в 2024 году – 34,8 %);</w:t>
      </w:r>
      <w:bookmarkEnd w:id="135"/>
    </w:p>
    <w:p w:rsidR="00B52DE3" w:rsidRDefault="00DE73E3">
      <w:pPr>
        <w:widowControl w:val="0"/>
        <w:spacing w:after="0" w:line="360" w:lineRule="auto"/>
        <w:ind w:firstLine="708"/>
        <w:jc w:val="both"/>
        <w:outlineLvl w:val="1"/>
        <w:rPr>
          <w:rFonts w:ascii="Times New Roman" w:hAnsi="Times New Roman" w:cs="Times New Roman"/>
        </w:rPr>
      </w:pPr>
      <w:bookmarkStart w:id="136" w:name="_Toc125"/>
      <w:r>
        <w:rPr>
          <w:rFonts w:ascii="Times New Roman" w:eastAsia="Times New Roman" w:hAnsi="Times New Roman" w:cs="Times New Roman"/>
          <w:sz w:val="28"/>
          <w:szCs w:val="28"/>
        </w:rPr>
        <w:t>от 40 до 49 лет – 35,7 % сотрудников (в 2024 году – 34,5 %);</w:t>
      </w:r>
      <w:bookmarkEnd w:id="136"/>
    </w:p>
    <w:p w:rsidR="00B52DE3" w:rsidRDefault="00DE73E3">
      <w:pPr>
        <w:widowControl w:val="0"/>
        <w:spacing w:after="0" w:line="360" w:lineRule="auto"/>
        <w:ind w:firstLine="708"/>
        <w:jc w:val="both"/>
        <w:outlineLvl w:val="1"/>
        <w:rPr>
          <w:rFonts w:ascii="Times New Roman" w:hAnsi="Times New Roman" w:cs="Times New Roman"/>
        </w:rPr>
      </w:pPr>
      <w:bookmarkStart w:id="137" w:name="_Toc126"/>
      <w:r>
        <w:rPr>
          <w:rFonts w:ascii="Times New Roman" w:eastAsia="Times New Roman" w:hAnsi="Times New Roman" w:cs="Times New Roman"/>
          <w:sz w:val="28"/>
          <w:szCs w:val="28"/>
        </w:rPr>
        <w:t xml:space="preserve">от 50 до 65 лет – 14,5 % сотрудников (в 2024 году – 17,7 %).   </w:t>
      </w:r>
      <w:bookmarkEnd w:id="137"/>
    </w:p>
    <w:p w:rsidR="00B52DE3" w:rsidRDefault="00DE73E3">
      <w:pPr>
        <w:widowControl w:val="0"/>
        <w:spacing w:after="0" w:line="360" w:lineRule="auto"/>
        <w:ind w:firstLine="708"/>
        <w:jc w:val="both"/>
        <w:outlineLvl w:val="1"/>
        <w:rPr>
          <w:rFonts w:ascii="Times New Roman" w:hAnsi="Times New Roman" w:cs="Times New Roman"/>
        </w:rPr>
      </w:pPr>
      <w:bookmarkStart w:id="138" w:name="_Toc127"/>
      <w:r>
        <w:rPr>
          <w:rFonts w:ascii="Times New Roman" w:eastAsia="Times New Roman" w:hAnsi="Times New Roman" w:cs="Times New Roman"/>
          <w:sz w:val="28"/>
          <w:szCs w:val="28"/>
        </w:rPr>
        <w:t xml:space="preserve">Приведенный анализ свидетельствует о том, что существенного изменения кадровый состав по возрастному признаку не претерпел. </w:t>
      </w:r>
      <w:bookmarkEnd w:id="138"/>
    </w:p>
    <w:p w:rsidR="00B52DE3" w:rsidRDefault="00DE73E3">
      <w:pPr>
        <w:widowControl w:val="0"/>
        <w:spacing w:after="0" w:line="360" w:lineRule="auto"/>
        <w:ind w:firstLine="708"/>
        <w:jc w:val="both"/>
        <w:outlineLvl w:val="1"/>
        <w:rPr>
          <w:rFonts w:ascii="Times New Roman" w:hAnsi="Times New Roman" w:cs="Times New Roman"/>
        </w:rPr>
      </w:pPr>
      <w:bookmarkStart w:id="139" w:name="_Toc128"/>
      <w:r>
        <w:rPr>
          <w:rFonts w:ascii="Times New Roman" w:eastAsia="Times New Roman" w:hAnsi="Times New Roman" w:cs="Times New Roman"/>
          <w:sz w:val="28"/>
          <w:szCs w:val="28"/>
        </w:rPr>
        <w:t xml:space="preserve">Одним из направлений работы в отчетном периоде явилось повышение квалификации муниципальных служащих. В 2025 году в рамках заключенных договоров повышение квалификации, обучение прошли                       73 муниципальных служащих, в т.ч. в сфере противодействия коррупции 41 (в 2024 году – 149 муниципальных служащих). Проведение повышения </w:t>
      </w:r>
      <w:r>
        <w:rPr>
          <w:rFonts w:ascii="Times New Roman" w:eastAsia="Times New Roman" w:hAnsi="Times New Roman" w:cs="Times New Roman"/>
          <w:sz w:val="28"/>
          <w:szCs w:val="28"/>
        </w:rPr>
        <w:lastRenderedPageBreak/>
        <w:t>квалификации специалистов положительным образом сказывается на эффективности деятельности отраслевых (функциональных) органов администрации Уссурийского городского округа Приморского края.</w:t>
      </w:r>
      <w:bookmarkEnd w:id="139"/>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Организован и проведен конкурс на включение кандидатов в кадровый резерв для замещения вакантных должностей муниципальной службы в администрации Уссурийского городского округа Приморского края. По результатам конкурса в резерв включено 31 кандидат, по результатам аттестации – 6 муниципальных служащих. По состоянию на 31 декабря             2025 года резерв составляет 73 кандидатов. В 2025 году на должности муниципальной службы из кадрового резерва было назначено 14</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человек (в 2024 году – 9 человек).</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течение 2025 года проводилась работа по аттестации муниципальных служащих, в соответствии с графиком проведения аттестации муниципальных служащих проведено пять заседаний аттестационной комиссии, в 2024 году проведено пять заседаний. По результатам работы аттестационной комиссии в 2025 году аттестованы 41 муниципальных служащих (в 2024 году аттестовано 30 муниципальный служащий).                       В 2025 году фактов не прибытия муниципальных служащих на аттестованную комиссию не имеется.</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В 2025 году проведена диспансеризация 243 муниципальных служащих администрации Уссурийского городского округа Приморского края,                              в 2024 году диспансеризацию прошли 242 муниципальных служащих.</w:t>
      </w:r>
    </w:p>
    <w:p w:rsidR="00B52DE3" w:rsidRDefault="00DE73E3">
      <w:pPr>
        <w:pStyle w:val="1fe"/>
        <w:keepNext w:val="0"/>
        <w:keepLines w:val="0"/>
        <w:spacing w:line="240" w:lineRule="auto"/>
      </w:pPr>
      <w:bookmarkStart w:id="140" w:name="_Toc129"/>
      <w:r>
        <w:rPr>
          <w:rFonts w:eastAsia="Times New Roman"/>
        </w:rPr>
        <w:t>ОСУЩЕСТВЛЕНИЕ МЕР ПО ПРОТИВОДЕЙСТВИЮ КОРРУПЦИИ В ГРАНИЦАХ ГОРОДСКОГО ОКРУГА</w:t>
      </w:r>
      <w:bookmarkEnd w:id="140"/>
    </w:p>
    <w:p w:rsidR="00B52DE3" w:rsidRDefault="00B52DE3">
      <w:pPr>
        <w:widowControl w:val="0"/>
        <w:spacing w:after="0" w:line="360" w:lineRule="auto"/>
        <w:rPr>
          <w:rFonts w:ascii="Times New Roman" w:hAnsi="Times New Roman" w:cs="Times New Roman"/>
          <w:b/>
          <w:bCs/>
          <w:sz w:val="28"/>
          <w:szCs w:val="28"/>
        </w:rPr>
      </w:pP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соответствии с Федеральным законом от 25 декабря 2008 года      № 273-ФЗ «О противодействии коррупции», Указом Президента Российской Федерации от 16 августа 2021 года № 478 «О Национальном плане противодействия коррупции на 2021 – 2024 годы», Законом Приморского </w:t>
      </w:r>
      <w:r>
        <w:rPr>
          <w:rFonts w:ascii="Times New Roman" w:eastAsia="Times New Roman" w:hAnsi="Times New Roman" w:cs="Times New Roman"/>
          <w:sz w:val="28"/>
          <w:szCs w:val="28"/>
        </w:rPr>
        <w:lastRenderedPageBreak/>
        <w:t>края от 10 марта 2009 года № 387-КЗ «О противодействии коррупции в Приморском крае», в 2025 году в администрации Уссурийского городского округа Приморского края реализовывалась муниципальная программа «Противодействие коррупции в Уссурийском городском округе Приморского края» на 2022 – 2027 годы. В рамках указанной муниципальной программы реализованы следующие основные мероприятия:</w:t>
      </w:r>
    </w:p>
    <w:p w:rsidR="00B52DE3" w:rsidRDefault="00DE73E3">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осуществлялся мониторинг изменений законодательства в сфере  </w:t>
      </w:r>
      <w:r>
        <w:rPr>
          <w:rFonts w:ascii="Times New Roman" w:eastAsia="Times New Roman" w:hAnsi="Times New Roman" w:cs="Times New Roman"/>
          <w:sz w:val="28"/>
          <w:szCs w:val="28"/>
          <w:lang w:eastAsia="ru-RU"/>
        </w:rPr>
        <w:t>противодействия коррупции, с целью разработки новых, внесения изменений в действующие муниципальные правовые акты. Внесены изменения                            в 12 муниципальных правовых актов.</w:t>
      </w:r>
    </w:p>
    <w:p w:rsidR="00B52DE3" w:rsidRDefault="00DE73E3">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Разработано Положение о порядке сообщения лицом, замещающим должность муниципальной службы в администрации Уссурийского городского округа Приморского края о возникновении не зависящих от него обстоятельств, препятствующих соблюдению требований к служебному поведению и (или) требований об урегулировании конфликта интересов, утверждено постановлением администрации Уссурийского городского округа Приморского края от 27 февраля 2025 года № 1080-НПА.</w:t>
      </w:r>
    </w:p>
    <w:p w:rsidR="00B52DE3" w:rsidRDefault="00DE73E3">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Ежеквартально на заседаниях Совета при администрации Уссурийского городского округа Приморского края по противодействию коррупции, на заседаниях Комиссии по соблюдению требований к служебному поведению муниципальных служащих администрации Уссурийского городского округа Приморского края и урегулированию конфликта интересов в администрации Уссурийского городского округа Приморского края рассматриваются вопросы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незаконных решений и действий (бездействий) органов и должностных лиц, в целях выработки и принятия мер по предупреждению и устранению причин выявленных нарушений.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lastRenderedPageBreak/>
        <w:t>Осуществлялась работа по организационно-методическому и информационно-консультативному обеспечению. Проведены 4 рабочие встречи с должностными лицами отраслевых (функциональных) органов администрации с правом юридического лица, ответственными за работу по профилактике коррупционных нарушений и по вопросам организации декларационной компании 2025 года, проведению работы по актуализации анкетных данных муниципальных служащих и сотрудников администрации, соблюдению требований законодательства по урегулированию конфликта интересов, предоставлению сведений об адресах сайтов и (или) страниц сайтов в информационно-телекоммуникационной сети  «Интернет», на которых муниципальные служащие администрации размещали общедоступную информацию, а также данные, позволяющие их идентифицировать. Также проведено 3 рабочие встречи с руководителями муниципальных учреждений по вопросам соблюдения требований ст. 13.3 Федерального закона от 25 декабря 2008 года № 273-ФЗ «О противодействии коррупции», в том числе наличия необходимых правовых актов, содержания планов мероприятий по противодействию коррупции и их реализации, принимаемых мер по выявлению, предотвращению и урегулированию конфликта интересов.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На постоянной основе осуществляется консультирование граждан, поступающих на муниципальную службу по вопросам соблюдения законодательства о муниципальной службе и </w:t>
      </w:r>
      <w:proofErr w:type="spellStart"/>
      <w:r>
        <w:rPr>
          <w:rFonts w:ascii="Times New Roman" w:eastAsia="Times New Roman" w:hAnsi="Times New Roman" w:cs="Times New Roman"/>
          <w:sz w:val="28"/>
          <w:szCs w:val="28"/>
          <w:lang w:eastAsia="ru-RU"/>
        </w:rPr>
        <w:t>антикоррупционного</w:t>
      </w:r>
      <w:proofErr w:type="spellEnd"/>
      <w:r>
        <w:rPr>
          <w:rFonts w:ascii="Times New Roman" w:eastAsia="Times New Roman" w:hAnsi="Times New Roman" w:cs="Times New Roman"/>
          <w:sz w:val="28"/>
          <w:szCs w:val="28"/>
          <w:lang w:eastAsia="ru-RU"/>
        </w:rPr>
        <w:t xml:space="preserve"> законодательства (43 консультации), при увольнении с муниципальной службы по вопросу соблюдения ограничений (46 консультаций), а также консультирование муниципальных служащих по вопросам заполнения справок о доходах в 2025 году за отчетный 2024 год.</w:t>
      </w:r>
    </w:p>
    <w:p w:rsidR="00B52DE3" w:rsidRPr="0077297C"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Проведено 7 обучений муниципальных служащих администрации и руководителей муниципальных учреждений </w:t>
      </w:r>
      <w:r w:rsidRPr="0077297C">
        <w:rPr>
          <w:rFonts w:ascii="Times New Roman" w:eastAsia="Times New Roman" w:hAnsi="Times New Roman" w:cs="Times New Roman"/>
          <w:sz w:val="28"/>
          <w:szCs w:val="28"/>
          <w:lang w:eastAsia="ru-RU"/>
        </w:rPr>
        <w:t>по вопросам:</w:t>
      </w:r>
    </w:p>
    <w:p w:rsidR="0077297C" w:rsidRDefault="0077297C" w:rsidP="0077297C">
      <w:pPr>
        <w:pBdr>
          <w:top w:val="none" w:sz="4" w:space="0" w:color="000000"/>
          <w:left w:val="none" w:sz="4" w:space="0" w:color="000000"/>
          <w:bottom w:val="none" w:sz="4" w:space="0" w:color="000000"/>
          <w:right w:val="none" w:sz="4" w:space="0" w:color="000000"/>
        </w:pBdr>
        <w:spacing w:line="360" w:lineRule="auto"/>
        <w:rPr>
          <w:rFonts w:ascii="Times New Roman" w:hAnsi="Times New Roman" w:cs="Times New Roman"/>
          <w:color w:val="000000" w:themeColor="text2"/>
          <w:sz w:val="28"/>
          <w:szCs w:val="28"/>
        </w:rPr>
      </w:pPr>
      <w:r>
        <w:rPr>
          <w:rFonts w:ascii="Times New Roman" w:eastAsia="Times New Roman" w:hAnsi="Times New Roman" w:cs="Times New Roman"/>
          <w:color w:val="000000"/>
          <w:sz w:val="28"/>
          <w:szCs w:val="28"/>
        </w:rPr>
        <w:lastRenderedPageBreak/>
        <w:t>Руководители муниципальных учреждений 1 обучение:</w:t>
      </w:r>
      <w:r>
        <w:rPr>
          <w:rFonts w:ascii="Times New Roman" w:eastAsia="Times New Roman" w:hAnsi="Times New Roman" w:cs="Times New Roman"/>
          <w:color w:val="000000"/>
          <w:sz w:val="28"/>
          <w:szCs w:val="28"/>
        </w:rPr>
        <w:br/>
        <w:t>1. Предоставление справок о доходах, расходах, имуществе и обязательствах имущественного характера в 2025 году (за отчетный 2024 год).</w:t>
      </w:r>
      <w:r>
        <w:rPr>
          <w:rFonts w:ascii="Times New Roman" w:eastAsia="Times New Roman" w:hAnsi="Times New Roman" w:cs="Times New Roman"/>
          <w:color w:val="000000"/>
          <w:sz w:val="28"/>
          <w:szCs w:val="28"/>
        </w:rPr>
        <w:br/>
        <w:t xml:space="preserve">2. Личная заинтересованность, конфликт интересов.                                                                           </w:t>
      </w:r>
      <w:r>
        <w:rPr>
          <w:rFonts w:ascii="Times New Roman" w:eastAsia="Times New Roman" w:hAnsi="Times New Roman" w:cs="Times New Roman"/>
          <w:color w:val="000000" w:themeColor="text2"/>
          <w:sz w:val="28"/>
          <w:szCs w:val="28"/>
        </w:rPr>
        <w:t>Муниципальные служащие 2 обучения:</w:t>
      </w:r>
      <w:r>
        <w:rPr>
          <w:rFonts w:ascii="Times New Roman" w:eastAsia="Times New Roman" w:hAnsi="Times New Roman" w:cs="Times New Roman"/>
          <w:color w:val="000000" w:themeColor="text2"/>
          <w:sz w:val="28"/>
          <w:szCs w:val="28"/>
        </w:rPr>
        <w:br/>
        <w:t>1. Предоставление справок о доходах, расходах, имуществе и обязательствах имущественного характера в 2025 году (за отчетный 2024 год).</w:t>
      </w:r>
      <w:r>
        <w:rPr>
          <w:rFonts w:ascii="Times New Roman" w:eastAsia="Times New Roman" w:hAnsi="Times New Roman" w:cs="Times New Roman"/>
          <w:color w:val="000000" w:themeColor="text2"/>
          <w:sz w:val="28"/>
          <w:szCs w:val="28"/>
        </w:rPr>
        <w:br/>
        <w:t>2. Личная заинтересованность, конфликт интересов.</w:t>
      </w:r>
      <w:r>
        <w:rPr>
          <w:rFonts w:ascii="Times New Roman" w:eastAsia="Times New Roman" w:hAnsi="Times New Roman" w:cs="Times New Roman"/>
          <w:color w:val="000000" w:themeColor="text2"/>
          <w:sz w:val="28"/>
          <w:szCs w:val="28"/>
        </w:rPr>
        <w:br/>
        <w:t>2 обучения:</w:t>
      </w:r>
      <w:r>
        <w:rPr>
          <w:rFonts w:ascii="Times New Roman" w:eastAsia="Times New Roman" w:hAnsi="Times New Roman" w:cs="Times New Roman"/>
          <w:color w:val="000000" w:themeColor="text2"/>
          <w:sz w:val="28"/>
          <w:szCs w:val="28"/>
        </w:rPr>
        <w:br/>
        <w:t>1. Злоупотребление должностными полномочиями.</w:t>
      </w:r>
      <w:r>
        <w:rPr>
          <w:rFonts w:ascii="Times New Roman" w:eastAsia="Times New Roman" w:hAnsi="Times New Roman" w:cs="Times New Roman"/>
          <w:color w:val="000000" w:themeColor="text2"/>
          <w:sz w:val="28"/>
          <w:szCs w:val="28"/>
        </w:rPr>
        <w:br/>
        <w:t>2. Личная заинтересованность и конфликт интересов на муниципальной службе.</w:t>
      </w:r>
      <w:r>
        <w:rPr>
          <w:rFonts w:ascii="Times New Roman" w:eastAsia="Times New Roman" w:hAnsi="Times New Roman" w:cs="Times New Roman"/>
          <w:color w:val="000000" w:themeColor="text2"/>
          <w:sz w:val="28"/>
          <w:szCs w:val="28"/>
        </w:rPr>
        <w:br/>
        <w:t>3. Кодекс этики и служебного поведения муниципальных служащих органов местного самоуправления Уссурийского городского округа Приморского края.</w:t>
      </w:r>
      <w:r>
        <w:rPr>
          <w:rFonts w:ascii="Times New Roman" w:eastAsia="Times New Roman" w:hAnsi="Times New Roman" w:cs="Times New Roman"/>
          <w:color w:val="000000" w:themeColor="text2"/>
          <w:sz w:val="28"/>
          <w:szCs w:val="28"/>
        </w:rPr>
        <w:br/>
        <w:t>2 обучения:</w:t>
      </w:r>
      <w:r>
        <w:rPr>
          <w:rFonts w:ascii="Times New Roman" w:eastAsia="Times New Roman" w:hAnsi="Times New Roman" w:cs="Times New Roman"/>
          <w:color w:val="000000" w:themeColor="text2"/>
          <w:sz w:val="28"/>
          <w:szCs w:val="28"/>
        </w:rPr>
        <w:br/>
        <w:t>1. Личная заинтересованность и конфликт интересов на муниципальной службе.</w:t>
      </w:r>
      <w:r>
        <w:rPr>
          <w:rFonts w:ascii="Times New Roman" w:eastAsia="Times New Roman" w:hAnsi="Times New Roman" w:cs="Times New Roman"/>
          <w:color w:val="000000" w:themeColor="text2"/>
          <w:sz w:val="28"/>
          <w:szCs w:val="28"/>
        </w:rPr>
        <w:br/>
        <w:t>2. Иная оплачиваемая работа.</w:t>
      </w:r>
      <w:r>
        <w:rPr>
          <w:rFonts w:ascii="Times New Roman" w:eastAsia="Times New Roman" w:hAnsi="Times New Roman" w:cs="Times New Roman"/>
          <w:color w:val="000000" w:themeColor="text2"/>
          <w:sz w:val="28"/>
          <w:szCs w:val="28"/>
        </w:rPr>
        <w:br/>
        <w:t>3. Подарки на муниципальной службе.</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Разработаны и направлены в отраслевые (функциональные) органы администрации для ознакомления 4 памятки </w:t>
      </w:r>
      <w:proofErr w:type="spellStart"/>
      <w:r>
        <w:rPr>
          <w:rFonts w:ascii="Times New Roman" w:eastAsia="Times New Roman" w:hAnsi="Times New Roman" w:cs="Times New Roman"/>
          <w:sz w:val="28"/>
          <w:szCs w:val="28"/>
          <w:lang w:eastAsia="ru-RU"/>
        </w:rPr>
        <w:t>антикоррупционной</w:t>
      </w:r>
      <w:proofErr w:type="spellEnd"/>
      <w:r>
        <w:rPr>
          <w:rFonts w:ascii="Times New Roman" w:eastAsia="Times New Roman" w:hAnsi="Times New Roman" w:cs="Times New Roman"/>
          <w:sz w:val="28"/>
          <w:szCs w:val="28"/>
          <w:lang w:eastAsia="ru-RU"/>
        </w:rPr>
        <w:t xml:space="preserve"> направленности.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Организована работа Совета при администрации Уссурийского городского округа Приморского края по противодействию коррупции, утвержденным распоряжением администрации Уссурийского городского округа Приморского края (далее - Совет).</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В соответствии с планом работы Совета при администрации </w:t>
      </w:r>
      <w:r>
        <w:rPr>
          <w:rFonts w:ascii="Times New Roman" w:eastAsia="Times New Roman" w:hAnsi="Times New Roman" w:cs="Times New Roman"/>
          <w:sz w:val="28"/>
          <w:szCs w:val="28"/>
          <w:lang w:eastAsia="ru-RU"/>
        </w:rPr>
        <w:lastRenderedPageBreak/>
        <w:t xml:space="preserve">Уссурийского городского округа Приморского края по противодействию коррупции, утвержденным распоряжением администрации Уссурийского городского округа Приморского края 25 декабря 2024 года № 6753, проведено 4 заседания Совета, при этом рассмотрено 17 вопросов.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С целью принятия мер превентивного характера, направленных на предупреждение коррупционных проявлений в отраслевых (функциональных) и территориальных органах администрации Уссурийского городского округа Приморского края и находящихся в их ведении муниципальных учреждениях 29 мая 2025 года проведено внеочередное заседание Совета с участием правоохранительных органов, рассмотрено                   3 вопроса.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Протоколы заседаний Совета размещены на информационных стендах в зданиях администрации и на официальном сайте администрации.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Организована работа Комиссии по урегулированию конфликта интересов в администрации Уссурийского городского округа Приморского края и соблюдению требований к служебному поведению муниципальных служащих администрации Уссурийского городского округа Приморского края (далее – Комиссия). Проведено 21 заседание Комиссии, рассмотрены                49 вопросов.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Комиссией было рассмотрено 23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Нарушений не выявлено.</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Из 5 поступивших в администрацию уведомлений о намерении выполнять иную оплачиваемую работу в соответствии с частью 2 статьи 11 Федерального закона от 2 марта 2007 года № 25-ФЗ «О муниципальной службе в Российской Федерации», Комиссией было рассмотрено                               2 уведомления. Нарушений не выявлено.</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Информация о работе Комиссии размещены на информационных </w:t>
      </w:r>
      <w:r>
        <w:rPr>
          <w:rFonts w:ascii="Times New Roman" w:eastAsia="Times New Roman" w:hAnsi="Times New Roman" w:cs="Times New Roman"/>
          <w:sz w:val="28"/>
          <w:szCs w:val="28"/>
          <w:lang w:eastAsia="ru-RU"/>
        </w:rPr>
        <w:lastRenderedPageBreak/>
        <w:t>стендах в зданиях администрации и на официальном сайте администрации.</w:t>
      </w:r>
    </w:p>
    <w:p w:rsidR="00B52DE3" w:rsidRDefault="00DE73E3">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основании информации, направленной департаментом по профилактике коррупционных и иных правонарушений Приморского края на сайте администрации проведен </w:t>
      </w:r>
      <w:proofErr w:type="spellStart"/>
      <w:r>
        <w:rPr>
          <w:rFonts w:ascii="Times New Roman" w:eastAsia="Times New Roman" w:hAnsi="Times New Roman" w:cs="Times New Roman"/>
          <w:sz w:val="28"/>
          <w:szCs w:val="28"/>
          <w:lang w:eastAsia="ru-RU"/>
        </w:rPr>
        <w:t>онлайн-опрос</w:t>
      </w:r>
      <w:proofErr w:type="spellEnd"/>
      <w:r>
        <w:rPr>
          <w:rFonts w:ascii="Times New Roman" w:eastAsia="Times New Roman" w:hAnsi="Times New Roman" w:cs="Times New Roman"/>
          <w:sz w:val="28"/>
          <w:szCs w:val="28"/>
          <w:lang w:eastAsia="ru-RU"/>
        </w:rPr>
        <w:t xml:space="preserve"> на тему: «Противодействие коррупции на территории Уссурийского городского округа Приморского края». В опросе приняли участие 628 респондентов.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Проведена работа по анализу сведений представленных гражданами, претендующими на замещение должностей муниципальной службы                          (в отношении 43 кандидатов):</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Проводилась работа по контролю исполнения ст. 12 Федерального закона  от 25 декабря 2008 года № 273-ФЗ «О противодействии коррупции», согласно которой работодатель при заключении трудового или гражданско-правового договора на выполнение работ (оказание услуг) с гражданином, замещавшим должности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муниципальной службы обязан в десятидневный срок сообщать о заключении такого договора представителю нанимателя (работодателю) муниципального служащего по последнему месту его службы в порядке, устанавливаемом нормативными правовыми актами Российской Федерации.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Получена и проанализирована информация о трудоустройстве                        24 граждан, ранее замещавших должности муниципальной службы,                         7 уведомлений о трудоустройстве рассмотрены на Комиссии. Выявлено                     1 нарушение, а именно, нарушен десятидневный срок со дня заключения трудового договора, установленный для направления сообщения о заключении трудового договора с гражданином, замещавшим должности муниципальной службы, перечень которых устанавливается нормативными правовыми актами Российской Федерации. Информация о выявленном нарушении передана в Уссурийскую городскую прокуратуру.</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lastRenderedPageBreak/>
        <w:t xml:space="preserve">При увольнении с муниципальной службы проводится инструктаж и выдается памятка.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Информация о трудоустройстве граждан, ранее замещавших должности муниципальной службы, сведения о трудоустройстве которых в администрацию не поступали, передана в Уссурийскую городскую прокуратуру в 1 и 3 квартале 2025 года.</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Организована работа по представлению сведения о доходах, об имуществе и обязательствах имущественного характера муниципальными служащими администрации и руководителями муниципальных учреждений (далее – справка о доходах). 186 муниципальных служащих администрации, а также 11 руководителей муниципальных учреждений предоставили справки о доходах.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 xml:space="preserve">В соответствии с подпунктом «ж» пункта 1 Указа Президента РФ                      от 29 декабря 2022 годя №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19 муниципальных служащих предоставили информацию о наличии оснований для непредставления справок о доходах в отношении супругов в связи с их участием в СВО.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t>В рамках программных мероприятий организована и проведена работа (до 30 марта 2025 года) по актуализации сведений, содержащихся в личных делах муниципальных служащих и руководителей муниципальных учреждений. Указом Президента Российской Федерации от 10 октября                       2024 года № 870 «О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 утверждена новая форма анкеты. 186 муниципальных служащих, а также                  11 руководителей муниципальных учреждений предоставили новые анкеты. Проведен анализ предоставленных сведений, нарушений не выявлено.</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lang w:eastAsia="ru-RU"/>
        </w:rPr>
        <w:lastRenderedPageBreak/>
        <w:t xml:space="preserve">В целях реализации задачи по </w:t>
      </w:r>
      <w:proofErr w:type="spellStart"/>
      <w:r>
        <w:rPr>
          <w:rFonts w:ascii="Times New Roman" w:eastAsia="Times New Roman" w:hAnsi="Times New Roman" w:cs="Times New Roman"/>
          <w:sz w:val="28"/>
          <w:szCs w:val="28"/>
          <w:lang w:eastAsia="ru-RU"/>
        </w:rPr>
        <w:t>антикоррупционной</w:t>
      </w:r>
      <w:proofErr w:type="spellEnd"/>
      <w:r>
        <w:rPr>
          <w:rFonts w:ascii="Times New Roman" w:eastAsia="Times New Roman" w:hAnsi="Times New Roman" w:cs="Times New Roman"/>
          <w:sz w:val="28"/>
          <w:szCs w:val="28"/>
          <w:lang w:eastAsia="ru-RU"/>
        </w:rPr>
        <w:t xml:space="preserve"> пропаганде администрацией заключен муниципальных контракт с ООО Рекламное информационное агентство «Телемикс» на оказание информационных услуг по размещению видеороликов по профилактике коррупционных нарушений на телеканале с эфирной и кабельной сетями вещания на территории Уссурийского городского округа Приморского края.  Услуги оказывались                          с 05 мая 2025 года по 30 июня 2025 года, было размещено 2 (два) видеоролика (300 трансляций каждого видеоролика на телеканале).</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pStyle w:val="1fe"/>
        <w:keepNext w:val="0"/>
        <w:keepLines w:val="0"/>
        <w:spacing w:before="0" w:line="240" w:lineRule="auto"/>
      </w:pPr>
      <w:bookmarkStart w:id="141" w:name="_Toc130"/>
      <w:r>
        <w:rPr>
          <w:rFonts w:eastAsia="Times New Roman"/>
        </w:rPr>
        <w:t>РАЗВИТИЕ ИНФОРМАЦИОННО-КОММУНИКАТИВНЫХ ТЕХНОЛОГИЙ АДМИНИСТРАЦИИ УССУРИЙСКОГО ГОРОДСКОГО ОКРУГА ПРИМОРСКОГО КРАЯ</w:t>
      </w:r>
      <w:bookmarkEnd w:id="141"/>
    </w:p>
    <w:p w:rsidR="00B52DE3" w:rsidRDefault="00B52DE3">
      <w:pPr>
        <w:pStyle w:val="1fe"/>
        <w:spacing w:before="0" w:line="240" w:lineRule="auto"/>
      </w:pPr>
    </w:p>
    <w:p w:rsidR="00B52DE3" w:rsidRDefault="00B52DE3">
      <w:pPr>
        <w:pStyle w:val="1fe"/>
        <w:spacing w:before="0" w:line="240" w:lineRule="auto"/>
      </w:pP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Одним из основных приоритетов государственной политики в современном мире становится выделение роли и повышение значимости информационной безопасности в качестве </w:t>
      </w:r>
      <w:proofErr w:type="spellStart"/>
      <w:r>
        <w:rPr>
          <w:rFonts w:ascii="Times New Roman" w:eastAsia="Times New Roman" w:hAnsi="Times New Roman" w:cs="Times New Roman"/>
          <w:sz w:val="28"/>
          <w:szCs w:val="28"/>
        </w:rPr>
        <w:t>системообразующего</w:t>
      </w:r>
      <w:proofErr w:type="spellEnd"/>
      <w:r>
        <w:rPr>
          <w:rFonts w:ascii="Times New Roman" w:eastAsia="Times New Roman" w:hAnsi="Times New Roman" w:cs="Times New Roman"/>
          <w:sz w:val="28"/>
          <w:szCs w:val="28"/>
        </w:rPr>
        <w:t xml:space="preserve"> элемента управления. Под информационной безопасностью понимается комплекс организационных и технических мер, которые принимаются для обеспечения защиты, целостности, доступности и управляемости массивов информации.</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Защита информации включает несколько направлений, которые направлены на обеспечение конфиденциальности, целостности и доступности данных. Эти направления связаны с законодательным регулированием, организационными мерами, использованием технических средств и управлением инцидентами.</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Задачи координации работ по вопросам информационной безопасности в администрации Уссурийского городского округа Приморского края (далее – администрация), а также обеспечение защиты информации и осуществление контроля состояния защиты информации в администрации </w:t>
      </w:r>
      <w:r>
        <w:rPr>
          <w:rFonts w:ascii="Times New Roman" w:eastAsia="Times New Roman" w:hAnsi="Times New Roman" w:cs="Times New Roman"/>
          <w:sz w:val="28"/>
          <w:szCs w:val="28"/>
        </w:rPr>
        <w:lastRenderedPageBreak/>
        <w:t>возложены на отдел информационной безопасности администрации (далее – отдел).</w:t>
      </w:r>
    </w:p>
    <w:p w:rsidR="00B52DE3" w:rsidRDefault="00DE73E3">
      <w:pPr>
        <w:pStyle w:val="2f0"/>
        <w:tabs>
          <w:tab w:val="left" w:pos="993"/>
        </w:tabs>
        <w:spacing w:line="360" w:lineRule="auto"/>
        <w:ind w:firstLine="709"/>
        <w:jc w:val="both"/>
        <w:rPr>
          <w:sz w:val="28"/>
          <w:szCs w:val="28"/>
        </w:rPr>
      </w:pPr>
      <w:r>
        <w:rPr>
          <w:b w:val="0"/>
          <w:sz w:val="28"/>
          <w:szCs w:val="28"/>
        </w:rPr>
        <w:t>В целях организации и обеспечения защиты информации в администрации:</w:t>
      </w:r>
    </w:p>
    <w:p w:rsidR="00B52DE3" w:rsidRDefault="00DE73E3">
      <w:pPr>
        <w:pStyle w:val="2f0"/>
        <w:tabs>
          <w:tab w:val="left" w:pos="993"/>
        </w:tabs>
        <w:spacing w:line="360" w:lineRule="auto"/>
        <w:ind w:firstLine="709"/>
        <w:jc w:val="both"/>
        <w:rPr>
          <w:sz w:val="28"/>
          <w:szCs w:val="28"/>
        </w:rPr>
      </w:pPr>
      <w:r>
        <w:rPr>
          <w:b w:val="0"/>
          <w:sz w:val="28"/>
          <w:szCs w:val="28"/>
        </w:rPr>
        <w:t>1) в соответствие с пунктом 22 Положения о порядке организации и проведения работ по противодействию иностранным техническим разведкам и технической защите информации, содержащей сведения, составляющие государственную тайну, утвержденного постановлением Правительства Российской Федерации от 12 декабря 2023 года № 2131-69 разработано «Руководство по технической защите информации в администрации Уссурийского городского округа Приморского края»;</w:t>
      </w:r>
    </w:p>
    <w:p w:rsidR="00B52DE3" w:rsidRDefault="00DE73E3">
      <w:pPr>
        <w:pStyle w:val="2f0"/>
        <w:tabs>
          <w:tab w:val="left" w:pos="993"/>
        </w:tabs>
        <w:spacing w:line="360" w:lineRule="auto"/>
        <w:ind w:firstLine="709"/>
        <w:jc w:val="both"/>
        <w:rPr>
          <w:sz w:val="28"/>
          <w:szCs w:val="28"/>
        </w:rPr>
      </w:pPr>
      <w:r>
        <w:rPr>
          <w:b w:val="0"/>
          <w:sz w:val="28"/>
          <w:szCs w:val="28"/>
        </w:rPr>
        <w:t>2) в соответствии с поступившими рекомендациями Управления ФСТЭК России по Дальневосточному федеральному округу совместно с отделом информатизации управления информатизации, связи и муниципальных услуг приняты дополнительные меры по усилению систем защиты информации в администрации, направленные на:</w:t>
      </w:r>
    </w:p>
    <w:p w:rsidR="00B52DE3" w:rsidRDefault="00DE73E3">
      <w:pPr>
        <w:pStyle w:val="2f0"/>
        <w:tabs>
          <w:tab w:val="left" w:pos="993"/>
        </w:tabs>
        <w:spacing w:line="360" w:lineRule="auto"/>
        <w:ind w:firstLine="709"/>
        <w:jc w:val="both"/>
        <w:rPr>
          <w:sz w:val="28"/>
          <w:szCs w:val="28"/>
        </w:rPr>
      </w:pPr>
      <w:r>
        <w:rPr>
          <w:b w:val="0"/>
          <w:sz w:val="28"/>
          <w:szCs w:val="28"/>
        </w:rPr>
        <w:t>а) повышение защищенности сетевых ресурсов администрации;</w:t>
      </w:r>
    </w:p>
    <w:p w:rsidR="00B52DE3" w:rsidRDefault="00DE73E3">
      <w:pPr>
        <w:pStyle w:val="2f0"/>
        <w:tabs>
          <w:tab w:val="left" w:pos="993"/>
        </w:tabs>
        <w:spacing w:line="360" w:lineRule="auto"/>
        <w:ind w:firstLine="709"/>
        <w:jc w:val="both"/>
        <w:rPr>
          <w:sz w:val="28"/>
          <w:szCs w:val="28"/>
        </w:rPr>
      </w:pPr>
      <w:r>
        <w:rPr>
          <w:b w:val="0"/>
          <w:sz w:val="28"/>
          <w:szCs w:val="28"/>
        </w:rPr>
        <w:t>б) предотвращение реализации угроз безопасности информации;</w:t>
      </w:r>
    </w:p>
    <w:p w:rsidR="00B52DE3" w:rsidRDefault="00DE73E3">
      <w:pPr>
        <w:pStyle w:val="2f0"/>
        <w:tabs>
          <w:tab w:val="left" w:pos="993"/>
        </w:tabs>
        <w:spacing w:line="360" w:lineRule="auto"/>
        <w:ind w:firstLine="709"/>
        <w:jc w:val="both"/>
      </w:pPr>
      <w:r>
        <w:rPr>
          <w:b w:val="0"/>
          <w:sz w:val="28"/>
          <w:szCs w:val="28"/>
        </w:rPr>
        <w:t>в) предотвращение получения зарубежными хакерскими группировками информации об особенностях функционирования информаци</w:t>
      </w:r>
      <w:r>
        <w:rPr>
          <w:b w:val="0"/>
          <w:bCs w:val="0"/>
          <w:sz w:val="28"/>
          <w:szCs w:val="28"/>
        </w:rPr>
        <w:t>онных систем администрации;</w:t>
      </w:r>
    </w:p>
    <w:p w:rsidR="00B52DE3" w:rsidRDefault="00DE73E3">
      <w:pPr>
        <w:pStyle w:val="2f0"/>
        <w:tabs>
          <w:tab w:val="left" w:pos="993"/>
        </w:tabs>
        <w:spacing w:line="360" w:lineRule="auto"/>
        <w:ind w:firstLine="709"/>
        <w:jc w:val="both"/>
        <w:rPr>
          <w:b w:val="0"/>
          <w:bCs w:val="0"/>
          <w:sz w:val="28"/>
          <w:szCs w:val="28"/>
        </w:rPr>
      </w:pPr>
      <w:r>
        <w:rPr>
          <w:b w:val="0"/>
          <w:bCs w:val="0"/>
          <w:sz w:val="28"/>
          <w:szCs w:val="28"/>
        </w:rPr>
        <w:t>3) в связи с изменениями действующего законодательства в сфере информационной безопасности и в целях совершенствования работы по обеспечению защиты информации в администрации разрабатывались (вносились изменения в действующие) правовые акты администрации;</w:t>
      </w:r>
    </w:p>
    <w:p w:rsidR="00B52DE3" w:rsidRDefault="00DE73E3">
      <w:pPr>
        <w:pStyle w:val="2f0"/>
        <w:tabs>
          <w:tab w:val="left" w:pos="993"/>
        </w:tabs>
        <w:spacing w:line="360" w:lineRule="auto"/>
        <w:ind w:firstLine="709"/>
        <w:jc w:val="both"/>
        <w:rPr>
          <w:b w:val="0"/>
          <w:bCs w:val="0"/>
          <w:sz w:val="28"/>
          <w:szCs w:val="28"/>
        </w:rPr>
      </w:pPr>
      <w:r>
        <w:rPr>
          <w:b w:val="0"/>
          <w:bCs w:val="0"/>
          <w:sz w:val="28"/>
          <w:szCs w:val="28"/>
        </w:rPr>
        <w:t>4) проводилась аттестация и контроль объектов информатизации администрации на соответствие требованиям законодательства по защите информации с привлечением организаций, имеющих соответствующую лицензию на осуществление деятельности по защите информации;</w:t>
      </w:r>
    </w:p>
    <w:p w:rsidR="00B52DE3" w:rsidRDefault="00DE73E3">
      <w:pPr>
        <w:pStyle w:val="2f0"/>
        <w:tabs>
          <w:tab w:val="left" w:pos="993"/>
        </w:tabs>
        <w:spacing w:line="360" w:lineRule="auto"/>
        <w:ind w:firstLine="709"/>
        <w:jc w:val="both"/>
        <w:rPr>
          <w:b w:val="0"/>
          <w:bCs w:val="0"/>
          <w:sz w:val="28"/>
          <w:szCs w:val="28"/>
        </w:rPr>
      </w:pPr>
      <w:r>
        <w:rPr>
          <w:b w:val="0"/>
          <w:bCs w:val="0"/>
          <w:sz w:val="28"/>
          <w:szCs w:val="28"/>
        </w:rPr>
        <w:lastRenderedPageBreak/>
        <w:t>5) на постоянной основе осуществлялось:</w:t>
      </w:r>
    </w:p>
    <w:p w:rsidR="00B52DE3" w:rsidRDefault="00DE73E3">
      <w:pPr>
        <w:pStyle w:val="2f0"/>
        <w:tabs>
          <w:tab w:val="left" w:pos="993"/>
        </w:tabs>
        <w:spacing w:line="360" w:lineRule="auto"/>
        <w:ind w:firstLine="709"/>
        <w:jc w:val="both"/>
        <w:rPr>
          <w:b w:val="0"/>
          <w:bCs w:val="0"/>
          <w:sz w:val="28"/>
          <w:szCs w:val="28"/>
        </w:rPr>
      </w:pPr>
      <w:r>
        <w:rPr>
          <w:b w:val="0"/>
          <w:bCs w:val="0"/>
          <w:sz w:val="28"/>
          <w:szCs w:val="28"/>
        </w:rPr>
        <w:t>обслуживание средств защиты информации в информационных (автоматизированных) системах и сетях администрации;</w:t>
      </w:r>
    </w:p>
    <w:p w:rsidR="00B52DE3" w:rsidRDefault="00DE73E3">
      <w:pPr>
        <w:pStyle w:val="2f0"/>
        <w:tabs>
          <w:tab w:val="left" w:pos="993"/>
        </w:tabs>
        <w:spacing w:line="360" w:lineRule="auto"/>
        <w:ind w:firstLine="709"/>
        <w:jc w:val="both"/>
        <w:rPr>
          <w:b w:val="0"/>
          <w:bCs w:val="0"/>
          <w:sz w:val="28"/>
          <w:szCs w:val="28"/>
        </w:rPr>
      </w:pPr>
      <w:r>
        <w:rPr>
          <w:b w:val="0"/>
          <w:bCs w:val="0"/>
          <w:sz w:val="28"/>
          <w:szCs w:val="28"/>
        </w:rPr>
        <w:t>корректировка организационно-технической документации по системе защиты информации в информационных (автоматизированных) системах администрации;</w:t>
      </w:r>
    </w:p>
    <w:p w:rsidR="00B52DE3" w:rsidRDefault="00DE73E3">
      <w:pPr>
        <w:pStyle w:val="2f0"/>
        <w:tabs>
          <w:tab w:val="left" w:pos="993"/>
        </w:tabs>
        <w:spacing w:line="360" w:lineRule="auto"/>
        <w:ind w:firstLine="709"/>
        <w:jc w:val="both"/>
        <w:rPr>
          <w:b w:val="0"/>
          <w:bCs w:val="0"/>
          <w:sz w:val="28"/>
          <w:szCs w:val="28"/>
        </w:rPr>
      </w:pPr>
      <w:r>
        <w:rPr>
          <w:b w:val="0"/>
          <w:bCs w:val="0"/>
          <w:sz w:val="28"/>
          <w:szCs w:val="28"/>
        </w:rPr>
        <w:t>администрирование защищенной сети администрации;</w:t>
      </w:r>
    </w:p>
    <w:p w:rsidR="00B52DE3" w:rsidRDefault="00DE73E3">
      <w:pPr>
        <w:pStyle w:val="2f0"/>
        <w:tabs>
          <w:tab w:val="left" w:pos="993"/>
        </w:tabs>
        <w:spacing w:line="360" w:lineRule="auto"/>
        <w:ind w:firstLine="709"/>
        <w:jc w:val="both"/>
        <w:rPr>
          <w:b w:val="0"/>
          <w:bCs w:val="0"/>
          <w:sz w:val="28"/>
          <w:szCs w:val="28"/>
        </w:rPr>
      </w:pPr>
      <w:r>
        <w:rPr>
          <w:b w:val="0"/>
          <w:bCs w:val="0"/>
          <w:sz w:val="28"/>
          <w:szCs w:val="28"/>
        </w:rPr>
        <w:t>контроль за применением средств защиты информации, соблюдением сотрудниками администрации требований инструкций и положений по информационной безопасности.</w:t>
      </w:r>
    </w:p>
    <w:p w:rsidR="00B52DE3" w:rsidRDefault="00DE73E3">
      <w:pPr>
        <w:pStyle w:val="2f0"/>
        <w:tabs>
          <w:tab w:val="left" w:pos="993"/>
        </w:tabs>
        <w:spacing w:line="360" w:lineRule="auto"/>
        <w:ind w:firstLine="709"/>
        <w:jc w:val="both"/>
        <w:rPr>
          <w:b w:val="0"/>
          <w:bCs w:val="0"/>
          <w:sz w:val="28"/>
          <w:szCs w:val="28"/>
        </w:rPr>
      </w:pPr>
      <w:r>
        <w:rPr>
          <w:b w:val="0"/>
          <w:bCs w:val="0"/>
          <w:sz w:val="28"/>
          <w:szCs w:val="28"/>
        </w:rPr>
        <w:t xml:space="preserve">В рамках муниципальной программы «Развитие информационно-коммуникационных технологий администрации Уссурийского городского округа» на 2024-2030 годы», утвержденной постановлением администрации Уссурийского городского округа от 03 сентября 2021 года № 2000-НПА, на 2025 год на мероприятия по исполнению задачи «Обеспечение информационной безопасности в администрации Уссурийского городского округа Приморского округа» предусмотрено финансирование в размере                             3 млн. 421 тыс. рублей. </w:t>
      </w:r>
    </w:p>
    <w:p w:rsidR="00B52DE3" w:rsidRDefault="00DE73E3">
      <w:pPr>
        <w:pStyle w:val="2f0"/>
        <w:tabs>
          <w:tab w:val="left" w:pos="993"/>
        </w:tabs>
        <w:spacing w:line="360" w:lineRule="auto"/>
        <w:ind w:firstLine="709"/>
        <w:jc w:val="both"/>
        <w:rPr>
          <w:b w:val="0"/>
          <w:bCs w:val="0"/>
          <w:sz w:val="28"/>
          <w:szCs w:val="28"/>
        </w:rPr>
      </w:pPr>
      <w:r>
        <w:rPr>
          <w:b w:val="0"/>
          <w:bCs w:val="0"/>
          <w:sz w:val="28"/>
          <w:szCs w:val="28"/>
        </w:rPr>
        <w:t>В 2025 году были заключены 11 муниципальных контрактов и договоров на сумму 3 млн. 420,3 тыс. рублей – исполнение мероприятий муниципальной программы составляет 99,98 %.</w:t>
      </w:r>
    </w:p>
    <w:p w:rsidR="00B52DE3" w:rsidRDefault="00DE73E3">
      <w:pPr>
        <w:pStyle w:val="2f0"/>
        <w:tabs>
          <w:tab w:val="left" w:pos="993"/>
        </w:tabs>
        <w:spacing w:line="360" w:lineRule="auto"/>
        <w:ind w:firstLine="709"/>
        <w:jc w:val="both"/>
        <w:rPr>
          <w:b w:val="0"/>
          <w:bCs w:val="0"/>
          <w:sz w:val="28"/>
          <w:szCs w:val="28"/>
        </w:rPr>
      </w:pPr>
      <w:r>
        <w:rPr>
          <w:b w:val="0"/>
          <w:bCs w:val="0"/>
          <w:sz w:val="28"/>
          <w:szCs w:val="28"/>
        </w:rPr>
        <w:t>В 2025 году продолжались работы по подключению сотрудников администрации к сегментам государственных и региональных информационных систем Приморского края, включающие внедрение сертифицированных средств защиты информации и разработку организационно-распорядительной документации в соответствии с законодательством в сфере информационной безопасности.</w:t>
      </w:r>
    </w:p>
    <w:p w:rsidR="00B52DE3" w:rsidRDefault="00DE73E3">
      <w:pPr>
        <w:pStyle w:val="43"/>
        <w:tabs>
          <w:tab w:val="left" w:pos="1134"/>
        </w:tabs>
        <w:spacing w:line="360" w:lineRule="auto"/>
        <w:ind w:firstLine="709"/>
        <w:jc w:val="both"/>
        <w:rPr>
          <w:sz w:val="28"/>
          <w:szCs w:val="28"/>
        </w:rPr>
      </w:pPr>
      <w:r>
        <w:rPr>
          <w:sz w:val="28"/>
          <w:szCs w:val="28"/>
        </w:rPr>
        <w:t xml:space="preserve">Основной целью работы отдела является обеспечение реализации полномочий в сфере защиты государственной тайны, информации </w:t>
      </w:r>
      <w:r>
        <w:rPr>
          <w:sz w:val="28"/>
          <w:szCs w:val="28"/>
        </w:rPr>
        <w:lastRenderedPageBreak/>
        <w:t>ограниченного доступа в администрации в соответствии с действующим законодательством Российской Федерации по защите информации.</w:t>
      </w:r>
    </w:p>
    <w:p w:rsidR="00B52DE3" w:rsidRDefault="00DE73E3">
      <w:pPr>
        <w:pStyle w:val="43"/>
        <w:tabs>
          <w:tab w:val="left" w:pos="1134"/>
        </w:tabs>
        <w:spacing w:line="360" w:lineRule="auto"/>
        <w:ind w:firstLine="709"/>
        <w:jc w:val="both"/>
        <w:rPr>
          <w:sz w:val="28"/>
          <w:szCs w:val="28"/>
        </w:rPr>
      </w:pPr>
      <w:r>
        <w:rPr>
          <w:sz w:val="28"/>
          <w:szCs w:val="28"/>
        </w:rPr>
        <w:t>Для реализации указанной цели в 2026 году будет продолжаться работа по выполнению поставленных задач, а именно осуществляться:</w:t>
      </w:r>
    </w:p>
    <w:p w:rsidR="00B52DE3" w:rsidRDefault="00DE73E3">
      <w:pPr>
        <w:pStyle w:val="43"/>
        <w:tabs>
          <w:tab w:val="left" w:pos="1134"/>
        </w:tabs>
        <w:spacing w:line="360" w:lineRule="auto"/>
        <w:ind w:firstLine="709"/>
        <w:jc w:val="both"/>
        <w:rPr>
          <w:sz w:val="28"/>
          <w:szCs w:val="28"/>
        </w:rPr>
      </w:pPr>
      <w:r>
        <w:rPr>
          <w:sz w:val="28"/>
          <w:szCs w:val="28"/>
        </w:rPr>
        <w:t xml:space="preserve">координация работ по вопросам информационной безопасности в администрации; </w:t>
      </w:r>
    </w:p>
    <w:p w:rsidR="00B52DE3" w:rsidRDefault="00DE73E3">
      <w:pPr>
        <w:pStyle w:val="43"/>
        <w:tabs>
          <w:tab w:val="left" w:pos="1134"/>
        </w:tabs>
        <w:spacing w:line="360" w:lineRule="auto"/>
        <w:ind w:firstLine="709"/>
        <w:jc w:val="both"/>
        <w:rPr>
          <w:sz w:val="28"/>
          <w:szCs w:val="28"/>
        </w:rPr>
      </w:pPr>
      <w:r>
        <w:rPr>
          <w:sz w:val="28"/>
          <w:szCs w:val="28"/>
        </w:rPr>
        <w:t>организация и обеспечение защиты информации в администрации в соответствии с действующим законодательством Российской Федерации, в том числе организация и обеспечение:</w:t>
      </w:r>
    </w:p>
    <w:p w:rsidR="00B52DE3" w:rsidRDefault="00DE73E3">
      <w:pPr>
        <w:pStyle w:val="43"/>
        <w:tabs>
          <w:tab w:val="left" w:pos="1134"/>
        </w:tabs>
        <w:spacing w:line="360" w:lineRule="auto"/>
        <w:ind w:firstLine="709"/>
        <w:jc w:val="both"/>
        <w:rPr>
          <w:sz w:val="28"/>
          <w:szCs w:val="28"/>
        </w:rPr>
      </w:pPr>
      <w:r>
        <w:rPr>
          <w:sz w:val="28"/>
          <w:szCs w:val="28"/>
        </w:rPr>
        <w:t>защиты информации, содержащей сведения составляющие государственную тайну и сведения конфиденциального характера, обрабатываемой в информационных системах и обсуждаемой в защищаемых (выделенных) помещениях администрации;</w:t>
      </w:r>
    </w:p>
    <w:p w:rsidR="00B52DE3" w:rsidRDefault="00DE73E3">
      <w:pPr>
        <w:pStyle w:val="43"/>
        <w:tabs>
          <w:tab w:val="left" w:pos="1134"/>
        </w:tabs>
        <w:spacing w:line="360" w:lineRule="auto"/>
        <w:ind w:firstLine="709"/>
        <w:jc w:val="both"/>
      </w:pPr>
      <w:r>
        <w:rPr>
          <w:sz w:val="28"/>
          <w:szCs w:val="28"/>
        </w:rPr>
        <w:t>защиты информации, содержащейся в государственных (муниципальных) информационных системах администрации;</w:t>
      </w:r>
    </w:p>
    <w:p w:rsidR="00B52DE3" w:rsidRDefault="00DE73E3">
      <w:pPr>
        <w:pStyle w:val="43"/>
        <w:tabs>
          <w:tab w:val="left" w:pos="1134"/>
        </w:tabs>
        <w:spacing w:line="360" w:lineRule="auto"/>
        <w:ind w:firstLine="709"/>
        <w:jc w:val="both"/>
        <w:rPr>
          <w:sz w:val="28"/>
          <w:szCs w:val="28"/>
        </w:rPr>
      </w:pPr>
      <w:r>
        <w:rPr>
          <w:sz w:val="28"/>
          <w:szCs w:val="28"/>
        </w:rPr>
        <w:t>защиты персональных данных в администрации.</w:t>
      </w:r>
    </w:p>
    <w:p w:rsidR="00B52DE3" w:rsidRDefault="00DE73E3">
      <w:pPr>
        <w:pStyle w:val="43"/>
        <w:tabs>
          <w:tab w:val="left" w:pos="1134"/>
        </w:tabs>
        <w:spacing w:line="360" w:lineRule="auto"/>
        <w:ind w:firstLine="709"/>
        <w:jc w:val="both"/>
      </w:pPr>
      <w:r>
        <w:rPr>
          <w:bCs/>
          <w:sz w:val="28"/>
          <w:szCs w:val="28"/>
        </w:rPr>
        <w:t>контроль состояния защиты информации в админист</w:t>
      </w:r>
      <w:bookmarkStart w:id="142" w:name="_GoBack_Копия_7"/>
      <w:bookmarkEnd w:id="142"/>
      <w:r>
        <w:rPr>
          <w:bCs/>
          <w:sz w:val="28"/>
          <w:szCs w:val="28"/>
        </w:rPr>
        <w:t>рации.</w:t>
      </w:r>
    </w:p>
    <w:p w:rsidR="00B52DE3" w:rsidRDefault="00B52DE3">
      <w:pPr>
        <w:pStyle w:val="afff1"/>
        <w:spacing w:line="360" w:lineRule="auto"/>
        <w:ind w:left="0"/>
        <w:rPr>
          <w:b/>
          <w:bCs/>
          <w:szCs w:val="28"/>
        </w:rPr>
      </w:pPr>
    </w:p>
    <w:p w:rsidR="00B52DE3" w:rsidRDefault="00DE73E3">
      <w:pPr>
        <w:pStyle w:val="1fe"/>
        <w:keepNext w:val="0"/>
        <w:keepLines w:val="0"/>
        <w:spacing w:before="0" w:line="240" w:lineRule="auto"/>
      </w:pPr>
      <w:bookmarkStart w:id="143" w:name="_Toc131"/>
      <w:r>
        <w:rPr>
          <w:rFonts w:eastAsia="Times New Roman"/>
        </w:rPr>
        <w:t>О СОСТОЯНИИ ЗАЩИТЫ НАСЕЛЕНИЯ ОТ ЧРЕЗВЫЧАЙНЫХ СИТУАЦИЙ ПРИРОДНОГО И ТЕХНОГЕННОГО ХАРАКТЕРА</w:t>
      </w:r>
      <w:bookmarkEnd w:id="143"/>
    </w:p>
    <w:p w:rsidR="00B52DE3" w:rsidRDefault="00DE73E3">
      <w:pPr>
        <w:pStyle w:val="Heading1"/>
        <w:jc w:val="center"/>
        <w:rPr>
          <w:rFonts w:ascii="Times New Roman" w:hAnsi="Times New Roman" w:cs="Times New Roman"/>
          <w:color w:val="000000" w:themeColor="dark1"/>
        </w:rPr>
      </w:pPr>
      <w:bookmarkStart w:id="144" w:name="_Toc132"/>
      <w:r>
        <w:rPr>
          <w:rFonts w:ascii="Times New Roman" w:eastAsia="Times New Roman" w:hAnsi="Times New Roman" w:cs="Times New Roman"/>
          <w:color w:val="000000" w:themeColor="dark1"/>
        </w:rPr>
        <w:t>Основные показатели состояния защиты населения</w:t>
      </w:r>
      <w:bookmarkEnd w:id="144"/>
    </w:p>
    <w:p w:rsidR="00B52DE3" w:rsidRDefault="00B52DE3">
      <w:pPr>
        <w:widowControl w:val="0"/>
        <w:tabs>
          <w:tab w:val="left" w:pos="1360"/>
        </w:tabs>
        <w:spacing w:after="0" w:line="360" w:lineRule="auto"/>
        <w:jc w:val="center"/>
        <w:rPr>
          <w:rFonts w:ascii="Times New Roman" w:hAnsi="Times New Roman" w:cs="Times New Roman"/>
          <w:b/>
          <w:bCs/>
          <w:sz w:val="28"/>
          <w:szCs w:val="28"/>
        </w:rPr>
      </w:pPr>
    </w:p>
    <w:p w:rsidR="00B52DE3" w:rsidRDefault="00DE73E3">
      <w:pPr>
        <w:widowControl w:val="0"/>
        <w:spacing w:after="0" w:line="240" w:lineRule="auto"/>
        <w:ind w:firstLine="708"/>
        <w:jc w:val="center"/>
        <w:rPr>
          <w:rFonts w:ascii="Times New Roman" w:hAnsi="Times New Roman" w:cs="Times New Roman"/>
          <w:b/>
          <w:bCs/>
        </w:rPr>
      </w:pPr>
      <w:r>
        <w:rPr>
          <w:rFonts w:ascii="Times New Roman" w:eastAsia="Times New Roman" w:hAnsi="Times New Roman" w:cs="Times New Roman"/>
          <w:b/>
          <w:bCs/>
          <w:sz w:val="28"/>
          <w:szCs w:val="28"/>
        </w:rPr>
        <w:t>Потенциальные опасности для населения и территорий при возникновении чрезвычайных ситуаций природного и техногенного характера</w:t>
      </w:r>
    </w:p>
    <w:p w:rsidR="00B52DE3" w:rsidRDefault="00B52DE3">
      <w:pPr>
        <w:widowControl w:val="0"/>
        <w:spacing w:before="57" w:after="57" w:line="240" w:lineRule="auto"/>
        <w:rPr>
          <w:rFonts w:ascii="Times New Roman" w:hAnsi="Times New Roman" w:cs="Times New Roman"/>
          <w:b/>
          <w:bCs/>
          <w:sz w:val="24"/>
          <w:szCs w:val="24"/>
        </w:rPr>
      </w:pPr>
    </w:p>
    <w:p w:rsidR="00B52DE3" w:rsidRDefault="00DE73E3">
      <w:pPr>
        <w:widowControl w:val="0"/>
        <w:spacing w:after="0" w:line="240" w:lineRule="auto"/>
        <w:ind w:firstLine="708"/>
        <w:jc w:val="center"/>
        <w:rPr>
          <w:rFonts w:ascii="Times New Roman" w:hAnsi="Times New Roman" w:cs="Times New Roman"/>
        </w:rPr>
      </w:pPr>
      <w:r>
        <w:rPr>
          <w:rFonts w:ascii="Times New Roman" w:eastAsia="Times New Roman" w:hAnsi="Times New Roman" w:cs="Times New Roman"/>
          <w:b/>
          <w:bCs/>
          <w:sz w:val="28"/>
          <w:szCs w:val="24"/>
        </w:rPr>
        <w:t>Количество ЧС и причиненный материальный ущерб</w:t>
      </w:r>
    </w:p>
    <w:p w:rsidR="00B52DE3" w:rsidRDefault="00B52DE3">
      <w:pPr>
        <w:widowControl w:val="0"/>
        <w:spacing w:before="57" w:after="57" w:line="240" w:lineRule="auto"/>
        <w:ind w:firstLine="708"/>
        <w:jc w:val="center"/>
        <w:rPr>
          <w:rFonts w:ascii="Times New Roman" w:hAnsi="Times New Roman" w:cs="Times New Roman"/>
          <w:b/>
          <w:sz w:val="24"/>
          <w:szCs w:val="24"/>
        </w:rPr>
      </w:pPr>
    </w:p>
    <w:tbl>
      <w:tblPr>
        <w:tblW w:w="9356" w:type="dxa"/>
        <w:tblInd w:w="-4" w:type="dxa"/>
        <w:tblLayout w:type="fixed"/>
        <w:tblLook w:val="04A0"/>
      </w:tblPr>
      <w:tblGrid>
        <w:gridCol w:w="567"/>
        <w:gridCol w:w="1986"/>
        <w:gridCol w:w="992"/>
        <w:gridCol w:w="990"/>
        <w:gridCol w:w="1314"/>
        <w:gridCol w:w="1134"/>
        <w:gridCol w:w="1139"/>
        <w:gridCol w:w="1234"/>
      </w:tblGrid>
      <w:tr w:rsidR="00B52DE3">
        <w:tc>
          <w:tcPr>
            <w:tcW w:w="566" w:type="dxa"/>
            <w:vMerge w:val="restart"/>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п</w:t>
            </w:r>
            <w:proofErr w:type="spellEnd"/>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Вид ЧС</w:t>
            </w:r>
          </w:p>
        </w:tc>
        <w:tc>
          <w:tcPr>
            <w:tcW w:w="198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Количество, ед.</w:t>
            </w:r>
          </w:p>
        </w:tc>
        <w:tc>
          <w:tcPr>
            <w:tcW w:w="13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Прирост (+)</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Снижение (-)</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lang w:val="en-US"/>
              </w:rPr>
              <w:t>%</w:t>
            </w:r>
          </w:p>
        </w:tc>
        <w:tc>
          <w:tcPr>
            <w:tcW w:w="227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 xml:space="preserve">Материальный ущерб (млн. </w:t>
            </w:r>
            <w:proofErr w:type="spellStart"/>
            <w:r>
              <w:rPr>
                <w:rFonts w:ascii="Times New Roman" w:eastAsia="Times New Roman" w:hAnsi="Times New Roman" w:cs="Times New Roman"/>
                <w:sz w:val="24"/>
                <w:szCs w:val="24"/>
              </w:rPr>
              <w:t>руб</w:t>
            </w:r>
            <w:proofErr w:type="spellEnd"/>
            <w:r>
              <w:rPr>
                <w:rFonts w:ascii="Times New Roman" w:eastAsia="Times New Roman" w:hAnsi="Times New Roman" w:cs="Times New Roman"/>
                <w:sz w:val="24"/>
                <w:szCs w:val="24"/>
              </w:rPr>
              <w:t>)</w:t>
            </w:r>
          </w:p>
        </w:tc>
        <w:tc>
          <w:tcPr>
            <w:tcW w:w="12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Прирост (+)</w:t>
            </w:r>
          </w:p>
          <w:p w:rsidR="00B52DE3" w:rsidRDefault="00DE73E3">
            <w:pPr>
              <w:widowControl w:val="0"/>
              <w:spacing w:after="0" w:line="240" w:lineRule="auto"/>
              <w:ind w:left="-108" w:right="-108"/>
              <w:jc w:val="center"/>
              <w:rPr>
                <w:rFonts w:ascii="Times New Roman" w:hAnsi="Times New Roman" w:cs="Times New Roman"/>
              </w:rPr>
            </w:pPr>
            <w:r>
              <w:rPr>
                <w:rFonts w:ascii="Times New Roman" w:eastAsia="Times New Roman" w:hAnsi="Times New Roman" w:cs="Times New Roman"/>
                <w:sz w:val="24"/>
                <w:szCs w:val="24"/>
              </w:rPr>
              <w:t>Снижение (-)</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w:t>
            </w:r>
          </w:p>
        </w:tc>
      </w:tr>
      <w:tr w:rsidR="00B52DE3">
        <w:tc>
          <w:tcPr>
            <w:tcW w:w="566"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986"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2024 г.</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left="-108" w:right="-108"/>
              <w:jc w:val="center"/>
              <w:rPr>
                <w:rFonts w:ascii="Times New Roman" w:hAnsi="Times New Roman" w:cs="Times New Roman"/>
              </w:rPr>
            </w:pPr>
            <w:r>
              <w:rPr>
                <w:rFonts w:ascii="Times New Roman" w:eastAsia="Times New Roman" w:hAnsi="Times New Roman" w:cs="Times New Roman"/>
                <w:sz w:val="24"/>
                <w:szCs w:val="24"/>
              </w:rPr>
              <w:t>2025 г.</w:t>
            </w:r>
          </w:p>
        </w:tc>
        <w:tc>
          <w:tcPr>
            <w:tcW w:w="1314"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2024 г.</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2025 г.</w:t>
            </w:r>
          </w:p>
        </w:tc>
        <w:tc>
          <w:tcPr>
            <w:tcW w:w="1234"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r>
      <w:tr w:rsidR="00B52DE3">
        <w:tc>
          <w:tcPr>
            <w:tcW w:w="566"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lastRenderedPageBreak/>
              <w:t>1</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3</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left="-108" w:right="-108"/>
              <w:jc w:val="center"/>
              <w:rPr>
                <w:rFonts w:ascii="Times New Roman" w:hAnsi="Times New Roman" w:cs="Times New Roman"/>
              </w:rPr>
            </w:pPr>
            <w:r>
              <w:rPr>
                <w:rFonts w:ascii="Times New Roman" w:eastAsia="Times New Roman" w:hAnsi="Times New Roman" w:cs="Times New Roman"/>
                <w:sz w:val="24"/>
                <w:szCs w:val="24"/>
              </w:rPr>
              <w:t>4</w:t>
            </w:r>
          </w:p>
        </w:tc>
        <w:tc>
          <w:tcPr>
            <w:tcW w:w="131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6</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7</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widowControl w:val="0"/>
              <w:spacing w:after="0" w:line="240" w:lineRule="auto"/>
              <w:jc w:val="center"/>
              <w:rPr>
                <w:rFonts w:ascii="Times New Roman" w:hAnsi="Times New Roman" w:cs="Times New Roman"/>
                <w:sz w:val="24"/>
                <w:szCs w:val="24"/>
              </w:rPr>
            </w:pPr>
          </w:p>
        </w:tc>
      </w:tr>
      <w:tr w:rsidR="00B52DE3">
        <w:tc>
          <w:tcPr>
            <w:tcW w:w="566" w:type="dxa"/>
            <w:tcBorders>
              <w:top w:val="single" w:sz="4" w:space="0" w:color="000000"/>
              <w:left w:val="single" w:sz="4" w:space="0" w:color="000000"/>
              <w:bottom w:val="single" w:sz="4" w:space="0" w:color="000000"/>
              <w:right w:val="single" w:sz="4" w:space="0" w:color="000000"/>
            </w:tcBorders>
          </w:tcPr>
          <w:p w:rsidR="00B52DE3" w:rsidRDefault="00B52DE3">
            <w:pPr>
              <w:widowControl w:val="0"/>
              <w:spacing w:after="0" w:line="240" w:lineRule="auto"/>
              <w:rPr>
                <w:rFonts w:ascii="Times New Roman" w:hAnsi="Times New Roman" w:cs="Times New Roman"/>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Техногенные ЧС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31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r>
      <w:tr w:rsidR="00B52DE3">
        <w:tc>
          <w:tcPr>
            <w:tcW w:w="566" w:type="dxa"/>
            <w:tcBorders>
              <w:top w:val="single" w:sz="4" w:space="0" w:color="000000"/>
              <w:left w:val="single" w:sz="4" w:space="0" w:color="000000"/>
              <w:bottom w:val="single" w:sz="4" w:space="0" w:color="000000"/>
              <w:right w:val="single" w:sz="4" w:space="0" w:color="000000"/>
            </w:tcBorders>
          </w:tcPr>
          <w:p w:rsidR="00B52DE3" w:rsidRDefault="00B52DE3">
            <w:pPr>
              <w:widowControl w:val="0"/>
              <w:spacing w:after="0" w:line="240" w:lineRule="auto"/>
              <w:rPr>
                <w:rFonts w:ascii="Times New Roman" w:hAnsi="Times New Roman" w:cs="Times New Roman"/>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Природные ЧС</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31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r>
      <w:tr w:rsidR="00B52DE3">
        <w:tc>
          <w:tcPr>
            <w:tcW w:w="566" w:type="dxa"/>
            <w:tcBorders>
              <w:top w:val="single" w:sz="4" w:space="0" w:color="000000"/>
              <w:left w:val="single" w:sz="4" w:space="0" w:color="000000"/>
              <w:bottom w:val="single" w:sz="4" w:space="0" w:color="000000"/>
              <w:right w:val="single" w:sz="4" w:space="0" w:color="000000"/>
            </w:tcBorders>
          </w:tcPr>
          <w:p w:rsidR="00B52DE3" w:rsidRDefault="00B52DE3">
            <w:pPr>
              <w:widowControl w:val="0"/>
              <w:spacing w:after="0" w:line="240" w:lineRule="auto"/>
              <w:rPr>
                <w:rFonts w:ascii="Times New Roman" w:hAnsi="Times New Roman" w:cs="Times New Roman"/>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Биолого-социальные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31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r>
      <w:tr w:rsidR="00B52DE3">
        <w:trPr>
          <w:trHeight w:val="156"/>
        </w:trPr>
        <w:tc>
          <w:tcPr>
            <w:tcW w:w="566" w:type="dxa"/>
            <w:tcBorders>
              <w:top w:val="single" w:sz="4" w:space="0" w:color="000000"/>
              <w:left w:val="single" w:sz="4" w:space="0" w:color="000000"/>
              <w:bottom w:val="single" w:sz="4" w:space="0" w:color="000000"/>
              <w:right w:val="single" w:sz="4" w:space="0" w:color="000000"/>
            </w:tcBorders>
          </w:tcPr>
          <w:p w:rsidR="00B52DE3" w:rsidRDefault="00B52DE3">
            <w:pPr>
              <w:widowControl w:val="0"/>
              <w:spacing w:after="0" w:line="240" w:lineRule="auto"/>
              <w:rPr>
                <w:rFonts w:ascii="Times New Roman" w:hAnsi="Times New Roman" w:cs="Times New Roman"/>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Итого:</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31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widowControl w:val="0"/>
              <w:spacing w:after="0" w:line="240" w:lineRule="auto"/>
              <w:jc w:val="center"/>
              <w:rPr>
                <w:rFonts w:ascii="Times New Roman" w:hAnsi="Times New Roman" w:cs="Times New Roman"/>
                <w:color w:val="FF0000"/>
                <w:sz w:val="24"/>
                <w:szCs w:val="24"/>
              </w:rPr>
            </w:pPr>
          </w:p>
        </w:tc>
        <w:tc>
          <w:tcPr>
            <w:tcW w:w="12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0</w:t>
            </w:r>
          </w:p>
        </w:tc>
      </w:tr>
    </w:tbl>
    <w:p w:rsidR="00B52DE3" w:rsidRDefault="00B52DE3">
      <w:pPr>
        <w:widowControl w:val="0"/>
        <w:spacing w:before="57" w:after="57" w:line="240" w:lineRule="auto"/>
        <w:jc w:val="center"/>
        <w:rPr>
          <w:rFonts w:ascii="Times New Roman" w:hAnsi="Times New Roman" w:cs="Times New Roman"/>
          <w:b/>
          <w:sz w:val="24"/>
          <w:szCs w:val="24"/>
        </w:rPr>
      </w:pPr>
    </w:p>
    <w:p w:rsidR="00B52DE3" w:rsidRDefault="00DE73E3">
      <w:pPr>
        <w:widowControl w:val="0"/>
        <w:spacing w:after="0" w:line="360" w:lineRule="auto"/>
        <w:ind w:firstLine="709"/>
        <w:jc w:val="center"/>
        <w:rPr>
          <w:rFonts w:ascii="Times New Roman" w:hAnsi="Times New Roman" w:cs="Times New Roman"/>
          <w:sz w:val="28"/>
          <w:szCs w:val="28"/>
        </w:rPr>
      </w:pPr>
      <w:r>
        <w:rPr>
          <w:rFonts w:ascii="Times New Roman" w:eastAsia="Times New Roman" w:hAnsi="Times New Roman" w:cs="Times New Roman"/>
          <w:b/>
          <w:bCs/>
          <w:sz w:val="28"/>
          <w:szCs w:val="28"/>
        </w:rPr>
        <w:t>Чрезвычайные ситуации техногенного характера</w:t>
      </w:r>
    </w:p>
    <w:p w:rsidR="00B52DE3" w:rsidRDefault="00DE73E3">
      <w:pPr>
        <w:widowControl w:val="0"/>
        <w:tabs>
          <w:tab w:val="left" w:pos="1725"/>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Техногенных ЧС в 2025 году не произошло.</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промышленности и энергетике крупных аварий не возникало.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Состояние железнодорожного и автомобильного транспорта оценивается как эксплуатационное.</w:t>
      </w:r>
    </w:p>
    <w:p w:rsidR="00B52DE3" w:rsidRDefault="00B52DE3">
      <w:pPr>
        <w:widowControl w:val="0"/>
        <w:tabs>
          <w:tab w:val="left" w:pos="1600"/>
        </w:tabs>
        <w:spacing w:after="0" w:line="240" w:lineRule="auto"/>
        <w:ind w:firstLine="709"/>
        <w:jc w:val="center"/>
        <w:rPr>
          <w:rFonts w:ascii="Times New Roman" w:eastAsia="Times New Roman" w:hAnsi="Times New Roman" w:cs="Times New Roman"/>
          <w:b/>
          <w:bCs/>
          <w:sz w:val="28"/>
          <w:szCs w:val="28"/>
        </w:rPr>
      </w:pPr>
    </w:p>
    <w:p w:rsidR="00B52DE3" w:rsidRDefault="00B52DE3">
      <w:pPr>
        <w:widowControl w:val="0"/>
        <w:tabs>
          <w:tab w:val="left" w:pos="1600"/>
        </w:tabs>
        <w:spacing w:after="0" w:line="240" w:lineRule="auto"/>
        <w:ind w:firstLine="709"/>
        <w:jc w:val="center"/>
        <w:rPr>
          <w:rFonts w:ascii="Times New Roman" w:eastAsia="Times New Roman" w:hAnsi="Times New Roman" w:cs="Times New Roman"/>
          <w:b/>
          <w:bCs/>
          <w:sz w:val="28"/>
          <w:szCs w:val="28"/>
        </w:rPr>
      </w:pPr>
    </w:p>
    <w:p w:rsidR="00B52DE3" w:rsidRDefault="00DE73E3">
      <w:pPr>
        <w:widowControl w:val="0"/>
        <w:tabs>
          <w:tab w:val="left" w:pos="1600"/>
        </w:tabs>
        <w:spacing w:after="0" w:line="240" w:lineRule="auto"/>
        <w:ind w:firstLine="709"/>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4"/>
        </w:rPr>
        <w:t>Сведения о потенциально опасных объектах и численности проживающего в зонах вероятной ЧС населения</w:t>
      </w:r>
    </w:p>
    <w:p w:rsidR="00B52DE3" w:rsidRDefault="00B52DE3">
      <w:pPr>
        <w:widowControl w:val="0"/>
        <w:tabs>
          <w:tab w:val="left" w:pos="1600"/>
        </w:tabs>
        <w:spacing w:before="57" w:after="57" w:line="240" w:lineRule="auto"/>
        <w:jc w:val="center"/>
        <w:rPr>
          <w:rFonts w:ascii="Times New Roman" w:hAnsi="Times New Roman" w:cs="Times New Roman"/>
          <w:bCs/>
          <w:sz w:val="24"/>
          <w:szCs w:val="24"/>
        </w:rPr>
      </w:pPr>
    </w:p>
    <w:tbl>
      <w:tblPr>
        <w:tblW w:w="9918" w:type="dxa"/>
        <w:jc w:val="center"/>
        <w:tblLayout w:type="fixed"/>
        <w:tblLook w:val="04A0"/>
      </w:tblPr>
      <w:tblGrid>
        <w:gridCol w:w="491"/>
        <w:gridCol w:w="1633"/>
        <w:gridCol w:w="1557"/>
        <w:gridCol w:w="838"/>
        <w:gridCol w:w="805"/>
        <w:gridCol w:w="718"/>
        <w:gridCol w:w="854"/>
        <w:gridCol w:w="705"/>
        <w:gridCol w:w="912"/>
        <w:gridCol w:w="709"/>
        <w:gridCol w:w="696"/>
      </w:tblGrid>
      <w:tr w:rsidR="00B52DE3">
        <w:trPr>
          <w:jc w:val="center"/>
        </w:trPr>
        <w:tc>
          <w:tcPr>
            <w:tcW w:w="490" w:type="dxa"/>
            <w:vMerge w:val="restart"/>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п</w:t>
            </w:r>
            <w:proofErr w:type="spellEnd"/>
          </w:p>
        </w:tc>
        <w:tc>
          <w:tcPr>
            <w:tcW w:w="1632" w:type="dxa"/>
            <w:vMerge w:val="restart"/>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proofErr w:type="spellStart"/>
            <w:r>
              <w:rPr>
                <w:rFonts w:ascii="Times New Roman" w:eastAsia="Times New Roman" w:hAnsi="Times New Roman" w:cs="Times New Roman"/>
                <w:sz w:val="24"/>
                <w:szCs w:val="24"/>
              </w:rPr>
              <w:t>Муници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пальное</w:t>
            </w:r>
            <w:proofErr w:type="spellEnd"/>
            <w:r>
              <w:rPr>
                <w:rFonts w:ascii="Times New Roman" w:eastAsia="Times New Roman" w:hAnsi="Times New Roman" w:cs="Times New Roman"/>
                <w:sz w:val="24"/>
                <w:szCs w:val="24"/>
              </w:rPr>
              <w:t xml:space="preserve"> образование</w:t>
            </w:r>
          </w:p>
        </w:tc>
        <w:tc>
          <w:tcPr>
            <w:tcW w:w="1557" w:type="dxa"/>
            <w:vMerge w:val="restart"/>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Наименование</w:t>
            </w:r>
          </w:p>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ПОО</w:t>
            </w:r>
          </w:p>
        </w:tc>
        <w:tc>
          <w:tcPr>
            <w:tcW w:w="1643" w:type="dxa"/>
            <w:gridSpan w:val="2"/>
            <w:vMerge w:val="restart"/>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Количество</w:t>
            </w:r>
          </w:p>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объектов, ед.</w:t>
            </w:r>
          </w:p>
        </w:tc>
        <w:tc>
          <w:tcPr>
            <w:tcW w:w="1572" w:type="dxa"/>
            <w:gridSpan w:val="2"/>
            <w:vMerge w:val="restart"/>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Численность</w:t>
            </w:r>
          </w:p>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населения</w:t>
            </w:r>
          </w:p>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в зоне вероятной ЧС,</w:t>
            </w:r>
          </w:p>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тыс. чел.</w:t>
            </w:r>
          </w:p>
        </w:tc>
        <w:tc>
          <w:tcPr>
            <w:tcW w:w="3022" w:type="dxa"/>
            <w:gridSpan w:val="4"/>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Степень износа, %</w:t>
            </w:r>
          </w:p>
        </w:tc>
      </w:tr>
      <w:tr w:rsidR="00B52DE3">
        <w:trPr>
          <w:jc w:val="center"/>
        </w:trPr>
        <w:tc>
          <w:tcPr>
            <w:tcW w:w="490"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632"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557"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643" w:type="dxa"/>
            <w:gridSpan w:val="2"/>
            <w:vMerge/>
            <w:tcBorders>
              <w:top w:val="single" w:sz="4" w:space="0" w:color="000000"/>
              <w:left w:val="single" w:sz="4" w:space="0" w:color="000000"/>
              <w:bottom w:val="single" w:sz="4" w:space="0" w:color="000000"/>
              <w:right w:val="single" w:sz="4" w:space="0" w:color="000000"/>
            </w:tcBorders>
          </w:tcPr>
          <w:p w:rsidR="00B52DE3" w:rsidRDefault="00B52DE3"/>
        </w:tc>
        <w:tc>
          <w:tcPr>
            <w:tcW w:w="1572" w:type="dxa"/>
            <w:gridSpan w:val="2"/>
            <w:vMerge/>
            <w:tcBorders>
              <w:top w:val="single" w:sz="4" w:space="0" w:color="000000"/>
              <w:left w:val="single" w:sz="4" w:space="0" w:color="000000"/>
              <w:bottom w:val="single" w:sz="4" w:space="0" w:color="000000"/>
              <w:right w:val="single" w:sz="4" w:space="0" w:color="000000"/>
            </w:tcBorders>
          </w:tcPr>
          <w:p w:rsidR="00B52DE3" w:rsidRDefault="00B52DE3"/>
        </w:tc>
        <w:tc>
          <w:tcPr>
            <w:tcW w:w="1617" w:type="dxa"/>
            <w:gridSpan w:val="2"/>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Основных</w:t>
            </w:r>
          </w:p>
          <w:p w:rsidR="00B52DE3" w:rsidRDefault="00DE73E3">
            <w:pPr>
              <w:widowControl w:val="0"/>
              <w:tabs>
                <w:tab w:val="left" w:pos="1111"/>
                <w:tab w:val="left" w:pos="8728"/>
              </w:tabs>
              <w:spacing w:after="0" w:line="240" w:lineRule="auto"/>
              <w:jc w:val="center"/>
              <w:rPr>
                <w:rFonts w:ascii="Times New Roman" w:hAnsi="Times New Roman" w:cs="Times New Roman"/>
              </w:rPr>
            </w:pPr>
            <w:proofErr w:type="spellStart"/>
            <w:r>
              <w:rPr>
                <w:rFonts w:ascii="Times New Roman" w:eastAsia="Times New Roman" w:hAnsi="Times New Roman" w:cs="Times New Roman"/>
                <w:bCs/>
                <w:sz w:val="24"/>
                <w:szCs w:val="24"/>
              </w:rPr>
              <w:t>производст-венных</w:t>
            </w:r>
            <w:proofErr w:type="spellEnd"/>
          </w:p>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фондов</w:t>
            </w:r>
          </w:p>
        </w:tc>
        <w:tc>
          <w:tcPr>
            <w:tcW w:w="1405" w:type="dxa"/>
            <w:gridSpan w:val="2"/>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Систем</w:t>
            </w:r>
          </w:p>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защиты</w:t>
            </w:r>
          </w:p>
        </w:tc>
      </w:tr>
      <w:tr w:rsidR="00B52DE3">
        <w:trPr>
          <w:trHeight w:val="290"/>
          <w:jc w:val="center"/>
        </w:trPr>
        <w:tc>
          <w:tcPr>
            <w:tcW w:w="490"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632"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557"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838"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2024</w:t>
            </w:r>
          </w:p>
        </w:tc>
        <w:tc>
          <w:tcPr>
            <w:tcW w:w="805"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2025</w:t>
            </w:r>
          </w:p>
        </w:tc>
        <w:tc>
          <w:tcPr>
            <w:tcW w:w="718"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20</w:t>
            </w:r>
            <w:r>
              <w:rPr>
                <w:rFonts w:ascii="Times New Roman" w:eastAsia="Times New Roman" w:hAnsi="Times New Roman" w:cs="Times New Roman"/>
                <w:bCs/>
              </w:rPr>
              <w:t>2</w:t>
            </w:r>
            <w:r>
              <w:rPr>
                <w:rFonts w:ascii="Times New Roman" w:eastAsia="Times New Roman" w:hAnsi="Times New Roman" w:cs="Times New Roman"/>
                <w:bCs/>
                <w:sz w:val="24"/>
                <w:szCs w:val="24"/>
              </w:rPr>
              <w:t>4</w:t>
            </w:r>
          </w:p>
        </w:tc>
        <w:tc>
          <w:tcPr>
            <w:tcW w:w="854"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2025</w:t>
            </w:r>
          </w:p>
        </w:tc>
        <w:tc>
          <w:tcPr>
            <w:tcW w:w="705"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2024</w:t>
            </w:r>
          </w:p>
        </w:tc>
        <w:tc>
          <w:tcPr>
            <w:tcW w:w="912"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2025</w:t>
            </w:r>
          </w:p>
        </w:tc>
        <w:tc>
          <w:tcPr>
            <w:tcW w:w="7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2024</w:t>
            </w:r>
          </w:p>
        </w:tc>
        <w:tc>
          <w:tcPr>
            <w:tcW w:w="696"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2025</w:t>
            </w:r>
          </w:p>
        </w:tc>
      </w:tr>
      <w:tr w:rsidR="00B52DE3">
        <w:trPr>
          <w:trHeight w:val="290"/>
          <w:jc w:val="center"/>
        </w:trPr>
        <w:tc>
          <w:tcPr>
            <w:tcW w:w="49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1</w:t>
            </w:r>
          </w:p>
        </w:tc>
        <w:tc>
          <w:tcPr>
            <w:tcW w:w="1632"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2</w:t>
            </w:r>
          </w:p>
        </w:tc>
        <w:tc>
          <w:tcPr>
            <w:tcW w:w="1557"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3</w:t>
            </w:r>
          </w:p>
        </w:tc>
        <w:tc>
          <w:tcPr>
            <w:tcW w:w="83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4</w:t>
            </w:r>
          </w:p>
        </w:tc>
        <w:tc>
          <w:tcPr>
            <w:tcW w:w="805"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5</w:t>
            </w:r>
          </w:p>
        </w:tc>
        <w:tc>
          <w:tcPr>
            <w:tcW w:w="71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6</w:t>
            </w:r>
          </w:p>
        </w:tc>
        <w:tc>
          <w:tcPr>
            <w:tcW w:w="854"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7</w:t>
            </w:r>
          </w:p>
        </w:tc>
        <w:tc>
          <w:tcPr>
            <w:tcW w:w="705"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8</w:t>
            </w:r>
          </w:p>
        </w:tc>
        <w:tc>
          <w:tcPr>
            <w:tcW w:w="912"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9</w:t>
            </w:r>
          </w:p>
        </w:tc>
        <w:tc>
          <w:tcPr>
            <w:tcW w:w="709"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10</w:t>
            </w:r>
          </w:p>
        </w:tc>
        <w:tc>
          <w:tcPr>
            <w:tcW w:w="69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center"/>
              <w:rPr>
                <w:rFonts w:ascii="Times New Roman" w:hAnsi="Times New Roman" w:cs="Times New Roman"/>
              </w:rPr>
            </w:pPr>
            <w:r>
              <w:rPr>
                <w:rFonts w:ascii="Times New Roman" w:eastAsia="Times New Roman" w:hAnsi="Times New Roman" w:cs="Times New Roman"/>
                <w:bCs/>
                <w:sz w:val="24"/>
                <w:szCs w:val="24"/>
              </w:rPr>
              <w:t>11</w:t>
            </w:r>
          </w:p>
        </w:tc>
      </w:tr>
      <w:tr w:rsidR="00B52DE3">
        <w:trPr>
          <w:jc w:val="center"/>
        </w:trPr>
        <w:tc>
          <w:tcPr>
            <w:tcW w:w="490"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1.</w:t>
            </w:r>
          </w:p>
        </w:tc>
        <w:tc>
          <w:tcPr>
            <w:tcW w:w="1632" w:type="dxa"/>
            <w:vMerge w:val="restart"/>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Уссурийский городской округ</w:t>
            </w:r>
          </w:p>
        </w:tc>
        <w:tc>
          <w:tcPr>
            <w:tcW w:w="1557"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Химически опасные</w:t>
            </w:r>
          </w:p>
        </w:tc>
        <w:tc>
          <w:tcPr>
            <w:tcW w:w="83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2</w:t>
            </w:r>
          </w:p>
        </w:tc>
        <w:tc>
          <w:tcPr>
            <w:tcW w:w="805"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2</w:t>
            </w:r>
          </w:p>
        </w:tc>
        <w:tc>
          <w:tcPr>
            <w:tcW w:w="71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0,3</w:t>
            </w:r>
          </w:p>
        </w:tc>
        <w:tc>
          <w:tcPr>
            <w:tcW w:w="854"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0,3</w:t>
            </w:r>
          </w:p>
        </w:tc>
        <w:tc>
          <w:tcPr>
            <w:tcW w:w="705"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33</w:t>
            </w:r>
          </w:p>
        </w:tc>
        <w:tc>
          <w:tcPr>
            <w:tcW w:w="912"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60</w:t>
            </w:r>
          </w:p>
        </w:tc>
        <w:tc>
          <w:tcPr>
            <w:tcW w:w="69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60</w:t>
            </w:r>
          </w:p>
        </w:tc>
      </w:tr>
      <w:tr w:rsidR="00B52DE3">
        <w:trPr>
          <w:jc w:val="center"/>
        </w:trPr>
        <w:tc>
          <w:tcPr>
            <w:tcW w:w="490"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2.</w:t>
            </w:r>
          </w:p>
        </w:tc>
        <w:tc>
          <w:tcPr>
            <w:tcW w:w="1632"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557"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both"/>
              <w:rPr>
                <w:rFonts w:ascii="Times New Roman" w:hAnsi="Times New Roman" w:cs="Times New Roman"/>
              </w:rPr>
            </w:pPr>
            <w:proofErr w:type="spellStart"/>
            <w:r>
              <w:rPr>
                <w:rFonts w:ascii="Times New Roman" w:eastAsia="Times New Roman" w:hAnsi="Times New Roman" w:cs="Times New Roman"/>
                <w:bCs/>
                <w:sz w:val="24"/>
                <w:szCs w:val="24"/>
              </w:rPr>
              <w:t>Взрыво-пожароопасные</w:t>
            </w:r>
            <w:proofErr w:type="spellEnd"/>
          </w:p>
        </w:tc>
        <w:tc>
          <w:tcPr>
            <w:tcW w:w="83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3</w:t>
            </w:r>
          </w:p>
        </w:tc>
        <w:tc>
          <w:tcPr>
            <w:tcW w:w="805"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3</w:t>
            </w:r>
          </w:p>
        </w:tc>
        <w:tc>
          <w:tcPr>
            <w:tcW w:w="71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1,8</w:t>
            </w:r>
          </w:p>
        </w:tc>
        <w:tc>
          <w:tcPr>
            <w:tcW w:w="854"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1,8</w:t>
            </w:r>
          </w:p>
        </w:tc>
        <w:tc>
          <w:tcPr>
            <w:tcW w:w="705"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38</w:t>
            </w:r>
          </w:p>
        </w:tc>
        <w:tc>
          <w:tcPr>
            <w:tcW w:w="912"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38</w:t>
            </w:r>
          </w:p>
        </w:tc>
        <w:tc>
          <w:tcPr>
            <w:tcW w:w="709"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13</w:t>
            </w:r>
          </w:p>
        </w:tc>
        <w:tc>
          <w:tcPr>
            <w:tcW w:w="69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13</w:t>
            </w:r>
          </w:p>
        </w:tc>
      </w:tr>
      <w:tr w:rsidR="00B52DE3">
        <w:trPr>
          <w:jc w:val="center"/>
        </w:trPr>
        <w:tc>
          <w:tcPr>
            <w:tcW w:w="490"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3.</w:t>
            </w:r>
          </w:p>
        </w:tc>
        <w:tc>
          <w:tcPr>
            <w:tcW w:w="1632"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557" w:type="dxa"/>
            <w:tcBorders>
              <w:top w:val="single" w:sz="4" w:space="0" w:color="000000"/>
              <w:left w:val="single" w:sz="4" w:space="0" w:color="000000"/>
              <w:bottom w:val="single" w:sz="4" w:space="0" w:color="000000"/>
              <w:right w:val="single" w:sz="4" w:space="0" w:color="000000"/>
            </w:tcBorders>
          </w:tcPr>
          <w:p w:rsidR="00B52DE3" w:rsidRDefault="00DE73E3">
            <w:pPr>
              <w:widowControl w:val="0"/>
              <w:tabs>
                <w:tab w:val="left" w:pos="1111"/>
                <w:tab w:val="left" w:pos="1273"/>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Газопроводы, тыс. км</w:t>
            </w:r>
          </w:p>
        </w:tc>
        <w:tc>
          <w:tcPr>
            <w:tcW w:w="83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0,068</w:t>
            </w:r>
          </w:p>
        </w:tc>
        <w:tc>
          <w:tcPr>
            <w:tcW w:w="805"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0,068</w:t>
            </w:r>
          </w:p>
        </w:tc>
        <w:tc>
          <w:tcPr>
            <w:tcW w:w="71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0</w:t>
            </w:r>
          </w:p>
        </w:tc>
        <w:tc>
          <w:tcPr>
            <w:tcW w:w="854"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0</w:t>
            </w:r>
          </w:p>
        </w:tc>
        <w:tc>
          <w:tcPr>
            <w:tcW w:w="705"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0</w:t>
            </w:r>
          </w:p>
        </w:tc>
        <w:tc>
          <w:tcPr>
            <w:tcW w:w="912"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0</w:t>
            </w:r>
          </w:p>
        </w:tc>
        <w:tc>
          <w:tcPr>
            <w:tcW w:w="69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tabs>
                <w:tab w:val="left" w:pos="1111"/>
                <w:tab w:val="left" w:pos="8728"/>
              </w:tabs>
              <w:spacing w:after="0" w:line="240" w:lineRule="auto"/>
              <w:jc w:val="both"/>
              <w:rPr>
                <w:rFonts w:ascii="Times New Roman" w:hAnsi="Times New Roman" w:cs="Times New Roman"/>
              </w:rPr>
            </w:pPr>
            <w:r>
              <w:rPr>
                <w:rFonts w:ascii="Times New Roman" w:eastAsia="Times New Roman" w:hAnsi="Times New Roman" w:cs="Times New Roman"/>
                <w:bCs/>
                <w:sz w:val="24"/>
                <w:szCs w:val="24"/>
              </w:rPr>
              <w:t>0</w:t>
            </w:r>
          </w:p>
        </w:tc>
      </w:tr>
    </w:tbl>
    <w:p w:rsidR="00B52DE3" w:rsidRDefault="00B52DE3">
      <w:pPr>
        <w:widowControl w:val="0"/>
        <w:tabs>
          <w:tab w:val="left" w:pos="1600"/>
        </w:tabs>
        <w:spacing w:after="0" w:line="360" w:lineRule="auto"/>
        <w:ind w:firstLine="709"/>
        <w:jc w:val="both"/>
        <w:rPr>
          <w:rFonts w:ascii="Times New Roman" w:hAnsi="Times New Roman" w:cs="Times New Roman"/>
          <w:sz w:val="28"/>
          <w:szCs w:val="28"/>
        </w:rPr>
      </w:pPr>
    </w:p>
    <w:p w:rsidR="00B52DE3" w:rsidRDefault="00DE73E3">
      <w:pPr>
        <w:widowControl w:val="0"/>
        <w:tabs>
          <w:tab w:val="left" w:pos="1600"/>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По Уссурийскому городскому округу проходят автомобильные дороги общей протяженностью 490,2 км федерального, краевого и местного значения. Участки дорог при определенных условиях могут служить причиной ДТП. Отдельные участки дорог краевого и местного назначения в весенний и осенний паводковые периоды и при сильных осадках подтапливаются, размываются. </w:t>
      </w:r>
    </w:p>
    <w:p w:rsidR="00B52DE3" w:rsidRDefault="00DE73E3">
      <w:pPr>
        <w:widowControl w:val="0"/>
        <w:tabs>
          <w:tab w:val="left" w:pos="1600"/>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lastRenderedPageBreak/>
        <w:t xml:space="preserve">По Уссурийскому городскому округу проходят пути филиала ОАО «РЖД» Владивостокского отделения общей протяженностью 161 км (90 км электрифицировано) с 9 мостами. На отдельных участках существует повышенная опасность возникновения ЧС - разрушение железнодорожных путей вследствие обильных дождей. </w:t>
      </w:r>
    </w:p>
    <w:p w:rsidR="00B52DE3" w:rsidRDefault="00DE73E3">
      <w:pPr>
        <w:widowControl w:val="0"/>
        <w:tabs>
          <w:tab w:val="left" w:pos="1600"/>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По территории</w:t>
      </w:r>
      <w:r>
        <w:rPr>
          <w:rFonts w:ascii="Times New Roman" w:eastAsia="Times New Roman" w:hAnsi="Times New Roman" w:cs="Times New Roman"/>
          <w:b/>
          <w:sz w:val="28"/>
          <w:szCs w:val="24"/>
        </w:rPr>
        <w:t xml:space="preserve"> </w:t>
      </w:r>
      <w:r>
        <w:rPr>
          <w:rFonts w:ascii="Times New Roman" w:eastAsia="Times New Roman" w:hAnsi="Times New Roman" w:cs="Times New Roman"/>
          <w:sz w:val="28"/>
          <w:szCs w:val="24"/>
        </w:rPr>
        <w:t xml:space="preserve">проходит магистральный газопровод Приморского ЛПУМГ ООО «Газпром </w:t>
      </w:r>
      <w:proofErr w:type="spellStart"/>
      <w:r>
        <w:rPr>
          <w:rFonts w:ascii="Times New Roman" w:eastAsia="Times New Roman" w:hAnsi="Times New Roman" w:cs="Times New Roman"/>
          <w:sz w:val="28"/>
          <w:szCs w:val="24"/>
        </w:rPr>
        <w:t>трансгаз</w:t>
      </w:r>
      <w:proofErr w:type="spellEnd"/>
      <w:r>
        <w:rPr>
          <w:rFonts w:ascii="Times New Roman" w:eastAsia="Times New Roman" w:hAnsi="Times New Roman" w:cs="Times New Roman"/>
          <w:sz w:val="28"/>
          <w:szCs w:val="24"/>
        </w:rPr>
        <w:t xml:space="preserve"> Томск» общей протяженностью 68 км. Диаметр трубы 1200 мм, рабочее давление 2,39 мПа. Перекачивающих станций нет. Заглубление трубопровода 2-2,5 м. В случае аварийного выброса газа наиболее опасная зона поражения составит 80,1 м</w:t>
      </w:r>
      <w:r>
        <w:rPr>
          <w:rFonts w:ascii="Times New Roman" w:eastAsia="Times New Roman" w:hAnsi="Times New Roman" w:cs="Times New Roman"/>
          <w:sz w:val="28"/>
          <w:szCs w:val="24"/>
          <w:vertAlign w:val="superscript"/>
        </w:rPr>
        <w:t>2</w:t>
      </w:r>
      <w:r>
        <w:rPr>
          <w:rFonts w:ascii="Times New Roman" w:eastAsia="Times New Roman" w:hAnsi="Times New Roman" w:cs="Times New Roman"/>
          <w:sz w:val="28"/>
          <w:szCs w:val="24"/>
        </w:rPr>
        <w:t>. Основная возможная причина аварии: постороннее внешнее вмешательство в эксплуатацию трубопровода. Угроза для населения отсутствует.</w:t>
      </w:r>
    </w:p>
    <w:p w:rsidR="00B52DE3" w:rsidRDefault="00B52DE3">
      <w:pPr>
        <w:widowControl w:val="0"/>
        <w:tabs>
          <w:tab w:val="left" w:pos="1600"/>
        </w:tabs>
        <w:spacing w:after="0" w:line="360" w:lineRule="auto"/>
        <w:ind w:firstLine="709"/>
        <w:jc w:val="center"/>
        <w:rPr>
          <w:rFonts w:ascii="Times New Roman" w:hAnsi="Times New Roman" w:cs="Times New Roman"/>
        </w:rPr>
      </w:pPr>
    </w:p>
    <w:p w:rsidR="00B52DE3" w:rsidRDefault="00DE73E3">
      <w:pPr>
        <w:widowControl w:val="0"/>
        <w:tabs>
          <w:tab w:val="left" w:pos="1600"/>
        </w:tabs>
        <w:spacing w:after="0" w:line="360" w:lineRule="auto"/>
        <w:jc w:val="center"/>
        <w:rPr>
          <w:rFonts w:ascii="Times New Roman" w:hAnsi="Times New Roman" w:cs="Times New Roman"/>
        </w:rPr>
      </w:pPr>
      <w:r>
        <w:rPr>
          <w:rFonts w:ascii="Times New Roman" w:eastAsia="Times New Roman" w:hAnsi="Times New Roman" w:cs="Times New Roman"/>
          <w:b/>
          <w:bCs/>
          <w:sz w:val="28"/>
          <w:szCs w:val="24"/>
        </w:rPr>
        <w:t>Чрезвычайные ситуации</w:t>
      </w:r>
    </w:p>
    <w:p w:rsidR="00B52DE3" w:rsidRDefault="00B52DE3">
      <w:pPr>
        <w:widowControl w:val="0"/>
        <w:tabs>
          <w:tab w:val="left" w:pos="1600"/>
        </w:tabs>
        <w:spacing w:after="0" w:line="360" w:lineRule="auto"/>
        <w:ind w:firstLine="709"/>
        <w:jc w:val="center"/>
        <w:rPr>
          <w:rFonts w:ascii="Times New Roman" w:hAnsi="Times New Roman" w:cs="Times New Roman"/>
        </w:rPr>
      </w:pPr>
    </w:p>
    <w:p w:rsidR="00B52DE3" w:rsidRDefault="00DE73E3">
      <w:pPr>
        <w:widowControl w:val="0"/>
        <w:tabs>
          <w:tab w:val="left" w:pos="1600"/>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Природных чрезвычайных ситуаций в 2025 году произошло - 0.</w:t>
      </w:r>
      <w:r>
        <w:rPr>
          <w:rFonts w:ascii="Times New Roman" w:eastAsia="Times New Roman" w:hAnsi="Times New Roman" w:cs="Times New Roman"/>
        </w:rPr>
        <w:t xml:space="preserve"> </w:t>
      </w:r>
    </w:p>
    <w:p w:rsidR="00B52DE3" w:rsidRDefault="00DE73E3">
      <w:pPr>
        <w:widowControl w:val="0"/>
        <w:tabs>
          <w:tab w:val="left" w:pos="160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Чрезвычайные ситуации биолого-социального характера - 0.</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Cs/>
          <w:spacing w:val="-3"/>
          <w:sz w:val="28"/>
          <w:szCs w:val="28"/>
        </w:rPr>
        <w:t>Эпидемии</w:t>
      </w:r>
      <w:r>
        <w:rPr>
          <w:rFonts w:ascii="Times New Roman" w:eastAsia="Times New Roman" w:hAnsi="Times New Roman" w:cs="Times New Roman"/>
          <w:sz w:val="28"/>
          <w:szCs w:val="28"/>
        </w:rPr>
        <w:t xml:space="preserve"> - 0.</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Cs/>
          <w:spacing w:val="-3"/>
          <w:sz w:val="28"/>
          <w:szCs w:val="28"/>
        </w:rPr>
        <w:t xml:space="preserve">Чрезвычайных ситуаций эпидемического характера (случаев инфекционных болезней, массовых заболеваний, вспышек заболеваний и т.д.) </w:t>
      </w:r>
      <w:r>
        <w:rPr>
          <w:rFonts w:ascii="Times New Roman" w:eastAsia="Times New Roman" w:hAnsi="Times New Roman" w:cs="Times New Roman"/>
          <w:bCs/>
          <w:spacing w:val="-3"/>
          <w:sz w:val="28"/>
          <w:szCs w:val="28"/>
        </w:rPr>
        <w:br/>
        <w:t xml:space="preserve">в 2024 и 2025 гг. - 0. </w:t>
      </w:r>
    </w:p>
    <w:p w:rsidR="00B52DE3" w:rsidRDefault="00DE73E3">
      <w:pPr>
        <w:pStyle w:val="Heading1"/>
        <w:spacing w:line="240" w:lineRule="auto"/>
        <w:jc w:val="center"/>
        <w:rPr>
          <w:rFonts w:ascii="Times New Roman" w:hAnsi="Times New Roman" w:cs="Times New Roman"/>
          <w:color w:val="000000" w:themeColor="dark1"/>
        </w:rPr>
      </w:pPr>
      <w:bookmarkStart w:id="145" w:name="_Toc133"/>
      <w:r>
        <w:rPr>
          <w:rFonts w:ascii="Times New Roman" w:eastAsia="Times New Roman" w:hAnsi="Times New Roman" w:cs="Times New Roman"/>
          <w:color w:val="000000" w:themeColor="dark1"/>
        </w:rPr>
        <w:t>Обобщенный показатель состояния защиты населения от потенциальных опасностей</w:t>
      </w:r>
      <w:bookmarkEnd w:id="145"/>
    </w:p>
    <w:p w:rsidR="00B52DE3" w:rsidRDefault="00B52DE3">
      <w:pPr>
        <w:widowControl w:val="0"/>
        <w:spacing w:after="0" w:line="240" w:lineRule="auto"/>
        <w:ind w:firstLine="709"/>
        <w:jc w:val="center"/>
        <w:rPr>
          <w:rFonts w:ascii="Times New Roman" w:hAnsi="Times New Roman" w:cs="Times New Roman"/>
          <w:b/>
          <w:bCs/>
          <w:sz w:val="28"/>
          <w:szCs w:val="28"/>
        </w:rPr>
      </w:pPr>
    </w:p>
    <w:p w:rsidR="00B52DE3" w:rsidRDefault="00B52DE3">
      <w:pPr>
        <w:widowControl w:val="0"/>
        <w:spacing w:after="0" w:line="240" w:lineRule="auto"/>
        <w:ind w:firstLine="709"/>
        <w:jc w:val="center"/>
        <w:rPr>
          <w:rFonts w:ascii="Times New Roman" w:hAnsi="Times New Roman" w:cs="Times New Roman"/>
          <w:b/>
          <w:bCs/>
          <w:sz w:val="28"/>
          <w:szCs w:val="28"/>
        </w:rPr>
      </w:pP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Допустимый индивидуальный риск чрезвычайной ситуации для Уссурийского городского округа – 1,63</w:t>
      </w:r>
      <w:r>
        <w:rPr>
          <w:rFonts w:ascii="Times New Roman" w:eastAsia="Times New Roman" w:hAnsi="Times New Roman" w:cs="Times New Roman"/>
          <w:color w:val="000000"/>
          <w:sz w:val="28"/>
          <w:szCs w:val="28"/>
          <w:vertAlign w:val="superscript"/>
        </w:rPr>
        <w:t>.</w:t>
      </w:r>
      <w:r>
        <w:rPr>
          <w:rFonts w:ascii="Times New Roman" w:eastAsia="Times New Roman" w:hAnsi="Times New Roman" w:cs="Times New Roman"/>
          <w:color w:val="000000"/>
          <w:sz w:val="28"/>
          <w:szCs w:val="28"/>
        </w:rPr>
        <w:t>10</w:t>
      </w:r>
      <w:r>
        <w:rPr>
          <w:rFonts w:ascii="Times New Roman" w:eastAsia="Times New Roman" w:hAnsi="Times New Roman" w:cs="Times New Roman"/>
          <w:color w:val="000000"/>
          <w:sz w:val="28"/>
          <w:szCs w:val="28"/>
          <w:vertAlign w:val="superscript"/>
        </w:rPr>
        <w:t>-5</w:t>
      </w:r>
      <w:r>
        <w:rPr>
          <w:rFonts w:ascii="Times New Roman" w:eastAsia="Times New Roman" w:hAnsi="Times New Roman" w:cs="Times New Roman"/>
          <w:color w:val="000000"/>
          <w:sz w:val="28"/>
          <w:szCs w:val="28"/>
        </w:rPr>
        <w:t>.</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Пожарная безопасность:</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по состоянию на 01 декабря 2025 года на территории Уссурийского городского округа зарегистрировано 45 (2042,36 га) лесных пожаров, 201 пал </w:t>
      </w:r>
      <w:r>
        <w:rPr>
          <w:rFonts w:ascii="Times New Roman" w:eastAsia="Times New Roman" w:hAnsi="Times New Roman" w:cs="Times New Roman"/>
          <w:color w:val="000000"/>
          <w:sz w:val="28"/>
          <w:szCs w:val="28"/>
        </w:rPr>
        <w:lastRenderedPageBreak/>
        <w:t xml:space="preserve">сухой травы.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Надзорные мероприятия в области пожарной безопасности и предупреждения чрезвычайных ситуаций осуществляет отдел надзорной деятельности Уссурийского городского округа Управления надзорной деятельности Главного управления МЧС России по Приморскому краю. Составлено 64 протокола об административных правонарушениях в области пожарной безопасности на общую сумму 420 000 рублей, вынесено                         36 предупреждений. </w:t>
      </w:r>
    </w:p>
    <w:p w:rsidR="00B52DE3" w:rsidRDefault="00DE73E3">
      <w:pPr>
        <w:widowControl w:val="0"/>
        <w:tabs>
          <w:tab w:val="left" w:pos="795"/>
          <w:tab w:val="left" w:pos="898"/>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Для обеспечения необходимого уровня пожарной безопасности и оперативного реагирования на возгорания и пожары на территории Уссурийского городского округа Приморского края в соответствии с положениями Федерального закона от 06 мая 2011 года № 100-Ф3                             «О добровольной пожарной охране» создано общественное объединение добровольной пожарной охраны «Добровольная пожарная дружина  сельских населенных пунктов Уссурийского городского округа», в состав которого входят 78 добровольных пожарных из числа местных жителей, которые прошли обучение  по программе первоначальной подготовки личного состава добровольной пожарной охраны, внесены в  сводный реестр добровольных пожарных и застрахованы. Добровольные пожарные привлекаются к участию в профилактике и тушении пожаров на территориях сельских населенных пунктов Уссурийского городского округа Приморского края. </w:t>
      </w:r>
    </w:p>
    <w:p w:rsidR="00B52DE3" w:rsidRDefault="00DE73E3">
      <w:pPr>
        <w:widowControl w:val="0"/>
        <w:tabs>
          <w:tab w:val="left" w:pos="795"/>
          <w:tab w:val="left" w:pos="898"/>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В настоящее время продолжается работа по отбору кандидатов в добровольные пожарные. На сегодняшний день отобрано 5 кандидатов, готовятся документы для прохождения обучения по программе первоначальной подготовки личного состава добровольной пожарной охраны.</w:t>
      </w:r>
    </w:p>
    <w:p w:rsidR="00B52DE3" w:rsidRDefault="00DE73E3">
      <w:pPr>
        <w:widowControl w:val="0"/>
        <w:tabs>
          <w:tab w:val="left" w:pos="795"/>
          <w:tab w:val="left" w:pos="898"/>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Добровольные пожарные оснащены первичными средствами пожаротушения, в том числе: противопожарные ранцы (опрыскиватели) в количестве 47 единиц, ранцевые воздуходувы в количестве 48 единиц, </w:t>
      </w:r>
      <w:r>
        <w:rPr>
          <w:rFonts w:ascii="Times New Roman" w:eastAsia="Times New Roman" w:hAnsi="Times New Roman" w:cs="Times New Roman"/>
          <w:color w:val="000000"/>
          <w:sz w:val="28"/>
          <w:szCs w:val="28"/>
        </w:rPr>
        <w:lastRenderedPageBreak/>
        <w:t xml:space="preserve">переносные </w:t>
      </w:r>
      <w:proofErr w:type="spellStart"/>
      <w:r>
        <w:rPr>
          <w:rFonts w:ascii="Times New Roman" w:eastAsia="Times New Roman" w:hAnsi="Times New Roman" w:cs="Times New Roman"/>
          <w:color w:val="000000"/>
          <w:sz w:val="28"/>
          <w:szCs w:val="28"/>
        </w:rPr>
        <w:t>мотопомпы</w:t>
      </w:r>
      <w:proofErr w:type="spellEnd"/>
      <w:r>
        <w:rPr>
          <w:rFonts w:ascii="Times New Roman" w:eastAsia="Times New Roman" w:hAnsi="Times New Roman" w:cs="Times New Roman"/>
          <w:color w:val="000000"/>
          <w:sz w:val="28"/>
          <w:szCs w:val="28"/>
        </w:rPr>
        <w:t xml:space="preserve"> 44 единицы, </w:t>
      </w:r>
      <w:proofErr w:type="spellStart"/>
      <w:r>
        <w:rPr>
          <w:rFonts w:ascii="Times New Roman" w:eastAsia="Times New Roman" w:hAnsi="Times New Roman" w:cs="Times New Roman"/>
          <w:color w:val="000000"/>
          <w:sz w:val="28"/>
          <w:szCs w:val="28"/>
        </w:rPr>
        <w:t>квадрокоптеры</w:t>
      </w:r>
      <w:proofErr w:type="spellEnd"/>
      <w:r>
        <w:rPr>
          <w:rFonts w:ascii="Times New Roman" w:eastAsia="Times New Roman" w:hAnsi="Times New Roman" w:cs="Times New Roman"/>
          <w:color w:val="000000"/>
          <w:sz w:val="28"/>
          <w:szCs w:val="28"/>
        </w:rPr>
        <w:t xml:space="preserve"> в количестве 9 единиц, бензопилы в количестве 13 единиц, емкости для воды 9 единиц.</w:t>
      </w:r>
    </w:p>
    <w:p w:rsidR="00B52DE3" w:rsidRDefault="00DE73E3">
      <w:pPr>
        <w:widowControl w:val="0"/>
        <w:tabs>
          <w:tab w:val="left" w:pos="795"/>
          <w:tab w:val="left" w:pos="898"/>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В селах, не имеющих сетей централизованного водоснабжения, в том числе, где затруднен забор воды, в зимнее время выполнены работы по подземной установке 44 резервуаров объемом 50 куб.м каждый, резервуары заполнены, знаки установлены, оборудованы подъезды (площадки) для установки и забора воды пожарными автомобилями.</w:t>
      </w:r>
    </w:p>
    <w:p w:rsidR="00B52DE3" w:rsidRDefault="00DE73E3">
      <w:pPr>
        <w:widowControl w:val="0"/>
        <w:tabs>
          <w:tab w:val="left" w:pos="795"/>
          <w:tab w:val="left" w:pos="898"/>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Наиболее удаленные села: </w:t>
      </w:r>
      <w:proofErr w:type="spellStart"/>
      <w:r>
        <w:rPr>
          <w:rFonts w:ascii="Times New Roman" w:eastAsia="Times New Roman" w:hAnsi="Times New Roman" w:cs="Times New Roman"/>
          <w:color w:val="000000"/>
          <w:sz w:val="28"/>
          <w:szCs w:val="28"/>
        </w:rPr>
        <w:t>Николо-Львовское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Пуциловка</w:t>
      </w:r>
      <w:proofErr w:type="spellEnd"/>
      <w:r>
        <w:rPr>
          <w:rFonts w:ascii="Times New Roman" w:eastAsia="Times New Roman" w:hAnsi="Times New Roman" w:cs="Times New Roman"/>
          <w:color w:val="000000"/>
          <w:sz w:val="28"/>
          <w:szCs w:val="28"/>
        </w:rPr>
        <w:t xml:space="preserve">, Дубовый ключ, </w:t>
      </w:r>
      <w:proofErr w:type="spellStart"/>
      <w:r>
        <w:rPr>
          <w:rFonts w:ascii="Times New Roman" w:eastAsia="Times New Roman" w:hAnsi="Times New Roman" w:cs="Times New Roman"/>
          <w:color w:val="000000"/>
          <w:sz w:val="28"/>
          <w:szCs w:val="28"/>
        </w:rPr>
        <w:t>Боголюбовка</w:t>
      </w:r>
      <w:proofErr w:type="spellEnd"/>
      <w:r>
        <w:rPr>
          <w:rFonts w:ascii="Times New Roman" w:eastAsia="Times New Roman" w:hAnsi="Times New Roman" w:cs="Times New Roman"/>
          <w:color w:val="000000"/>
          <w:sz w:val="28"/>
          <w:szCs w:val="28"/>
        </w:rPr>
        <w:t xml:space="preserve"> обеспечены автомобилями для подвоза воды на базе ЗИЛ- 131 (АРС-14), всего в расчете 18 единиц.</w:t>
      </w:r>
    </w:p>
    <w:p w:rsidR="00B52DE3" w:rsidRDefault="00DE73E3">
      <w:pPr>
        <w:widowControl w:val="0"/>
        <w:tabs>
          <w:tab w:val="left" w:pos="795"/>
          <w:tab w:val="left" w:pos="898"/>
        </w:tabs>
        <w:spacing w:after="0" w:line="360" w:lineRule="auto"/>
        <w:ind w:right="-1"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Обучение населения мерам пожарной безопасности, информирование о мерах пожарной безопасности организовано в учебно-консультационных пунктах сельских населенных пунктов, в организациях, в учебных заведениях, в средствах массовой информации. </w:t>
      </w:r>
    </w:p>
    <w:p w:rsidR="00B52DE3" w:rsidRDefault="00DE73E3">
      <w:pPr>
        <w:widowControl w:val="0"/>
        <w:tabs>
          <w:tab w:val="left" w:pos="795"/>
          <w:tab w:val="left" w:pos="898"/>
        </w:tabs>
        <w:spacing w:after="0" w:line="360" w:lineRule="auto"/>
        <w:ind w:right="141"/>
        <w:jc w:val="both"/>
        <w:rPr>
          <w:rFonts w:ascii="Times New Roman" w:hAnsi="Times New Roman" w:cs="Times New Roman"/>
          <w:sz w:val="28"/>
          <w:szCs w:val="28"/>
        </w:rPr>
      </w:pPr>
      <w:r>
        <w:rPr>
          <w:rFonts w:ascii="Times New Roman" w:eastAsia="Times New Roman" w:hAnsi="Times New Roman" w:cs="Times New Roman"/>
          <w:color w:val="000000"/>
          <w:sz w:val="28"/>
          <w:szCs w:val="28"/>
        </w:rPr>
        <w:tab/>
        <w:t>С целью эффективности обучения школьников основам пожарной безопасности, воспитания у детей чувства ответственности за личную безопасность и безопасность в окружающей среде, привлечения школьников к пожарно-профилактической деятельности в с. Алексей – Никольское по инициативе начальника отдела по работе с Алексей – Никольской территорией создан кружок «Юный друг пожарной дружины» 22 апреля 2025 года состоялось торжественное мероприятие по принятию 32 школьников в отряд юных друзей добровольных пожарных с вручением нагрудных значков.</w:t>
      </w:r>
    </w:p>
    <w:p w:rsidR="00B52DE3" w:rsidRDefault="00DE73E3">
      <w:pPr>
        <w:widowControl w:val="0"/>
        <w:tabs>
          <w:tab w:val="left" w:pos="795"/>
          <w:tab w:val="left" w:pos="898"/>
        </w:tabs>
        <w:spacing w:after="0" w:line="360" w:lineRule="auto"/>
        <w:ind w:right="141"/>
        <w:jc w:val="both"/>
        <w:rPr>
          <w:rFonts w:ascii="Times New Roman" w:hAnsi="Times New Roman" w:cs="Times New Roman"/>
          <w:sz w:val="28"/>
          <w:szCs w:val="28"/>
        </w:rPr>
      </w:pPr>
      <w:r>
        <w:rPr>
          <w:rFonts w:ascii="Times New Roman" w:eastAsia="Times New Roman" w:hAnsi="Times New Roman" w:cs="Times New Roman"/>
          <w:color w:val="000000"/>
          <w:sz w:val="28"/>
          <w:szCs w:val="28"/>
        </w:rPr>
        <w:tab/>
        <w:t xml:space="preserve">На базе отдела по работе с </w:t>
      </w:r>
      <w:proofErr w:type="spellStart"/>
      <w:r>
        <w:rPr>
          <w:rFonts w:ascii="Times New Roman" w:eastAsia="Times New Roman" w:hAnsi="Times New Roman" w:cs="Times New Roman"/>
          <w:color w:val="000000"/>
          <w:sz w:val="28"/>
          <w:szCs w:val="28"/>
        </w:rPr>
        <w:t>Алексей-Никольской</w:t>
      </w:r>
      <w:proofErr w:type="spellEnd"/>
      <w:r>
        <w:rPr>
          <w:rFonts w:ascii="Times New Roman" w:eastAsia="Times New Roman" w:hAnsi="Times New Roman" w:cs="Times New Roman"/>
          <w:color w:val="000000"/>
          <w:sz w:val="28"/>
          <w:szCs w:val="28"/>
        </w:rPr>
        <w:t xml:space="preserve"> территорией имеется учебный класс с наглядными материалами, имеется проектор для демонстрации видео и фотоматериалов в учебном процессе, так же запланировано проведение практических занятий с использованием оборудования.</w:t>
      </w:r>
    </w:p>
    <w:p w:rsidR="00B52DE3" w:rsidRDefault="00DE73E3">
      <w:pPr>
        <w:widowControl w:val="0"/>
        <w:tabs>
          <w:tab w:val="left" w:pos="795"/>
          <w:tab w:val="left" w:pos="898"/>
        </w:tabs>
        <w:spacing w:after="0" w:line="360" w:lineRule="auto"/>
        <w:ind w:right="141"/>
        <w:jc w:val="both"/>
        <w:rPr>
          <w:rFonts w:ascii="Times New Roman" w:hAnsi="Times New Roman" w:cs="Times New Roman"/>
          <w:sz w:val="28"/>
          <w:szCs w:val="28"/>
        </w:rPr>
      </w:pPr>
      <w:r>
        <w:rPr>
          <w:rFonts w:ascii="Times New Roman" w:eastAsia="Times New Roman" w:hAnsi="Times New Roman" w:cs="Times New Roman"/>
          <w:color w:val="000000"/>
          <w:sz w:val="28"/>
          <w:szCs w:val="28"/>
        </w:rPr>
        <w:tab/>
        <w:t xml:space="preserve">В образовательных учреждениях Уссурийского городского округа </w:t>
      </w:r>
      <w:r>
        <w:rPr>
          <w:rFonts w:ascii="Times New Roman" w:eastAsia="Times New Roman" w:hAnsi="Times New Roman" w:cs="Times New Roman"/>
          <w:color w:val="000000"/>
          <w:sz w:val="28"/>
          <w:szCs w:val="28"/>
        </w:rPr>
        <w:lastRenderedPageBreak/>
        <w:t>Приморского края создано около 70 добровольных пожарных формирований, на сегодняшний день направлены документы на обучение сотрудников образовательных учреждений по программе первоначальной подготовки личного состава добровольной пожарной охраны.</w:t>
      </w:r>
    </w:p>
    <w:p w:rsidR="00B52DE3" w:rsidRDefault="00DE73E3">
      <w:pPr>
        <w:widowControl w:val="0"/>
        <w:tabs>
          <w:tab w:val="left" w:pos="795"/>
          <w:tab w:val="left" w:pos="898"/>
        </w:tabs>
        <w:spacing w:after="0" w:line="360" w:lineRule="auto"/>
        <w:ind w:right="141"/>
        <w:jc w:val="both"/>
        <w:rPr>
          <w:rFonts w:ascii="Times New Roman" w:hAnsi="Times New Roman" w:cs="Times New Roman"/>
          <w:sz w:val="28"/>
          <w:szCs w:val="28"/>
        </w:rPr>
      </w:pPr>
      <w:r>
        <w:rPr>
          <w:rFonts w:ascii="Times New Roman" w:eastAsia="Times New Roman" w:hAnsi="Times New Roman" w:cs="Times New Roman"/>
          <w:color w:val="000000"/>
          <w:sz w:val="28"/>
          <w:szCs w:val="28"/>
        </w:rPr>
        <w:tab/>
        <w:t xml:space="preserve">В КГБУЗ «Уссурийская центральная городская больница» проводится работа по созданию объектовой пожарной дружины, документы для регистрации добровольного пожарного формирования направлены в Главное управление МЧС России по Приморскому краю. 10 человек из числа сотрудников лечебного учреждения проходят обучение по программе первоначальной подготовки личного состава добровольной пожарной охраны. По окончании обучения данные сотрудники будут внесены в сводный реестр добровольных пожарных. В целях проведения информационной кампании, направленной на необходимость соблюдения правил пожарной безопасности, осуществляется </w:t>
      </w:r>
      <w:proofErr w:type="spellStart"/>
      <w:r>
        <w:rPr>
          <w:rFonts w:ascii="Times New Roman" w:eastAsia="Times New Roman" w:hAnsi="Times New Roman" w:cs="Times New Roman"/>
          <w:color w:val="000000"/>
          <w:sz w:val="28"/>
          <w:szCs w:val="28"/>
        </w:rPr>
        <w:t>подворовой</w:t>
      </w:r>
      <w:proofErr w:type="spellEnd"/>
      <w:r>
        <w:rPr>
          <w:rFonts w:ascii="Times New Roman" w:eastAsia="Times New Roman" w:hAnsi="Times New Roman" w:cs="Times New Roman"/>
          <w:color w:val="000000"/>
          <w:sz w:val="28"/>
          <w:szCs w:val="28"/>
        </w:rPr>
        <w:t xml:space="preserve"> обход в селах.</w:t>
      </w:r>
    </w:p>
    <w:p w:rsidR="00B52DE3" w:rsidRDefault="00DE73E3">
      <w:pPr>
        <w:widowControl w:val="0"/>
        <w:tabs>
          <w:tab w:val="left" w:pos="795"/>
          <w:tab w:val="left" w:pos="898"/>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Для организации взаимодействия между группами, оперативно-дежурными службами и старостами населенных пунктов разработаны алгоритмы их действий.</w:t>
      </w:r>
    </w:p>
    <w:p w:rsidR="00B52DE3" w:rsidRDefault="00DE73E3">
      <w:pPr>
        <w:widowControl w:val="0"/>
        <w:tabs>
          <w:tab w:val="left" w:pos="795"/>
          <w:tab w:val="left" w:pos="898"/>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Через Единую дежурную диспетчерскую службу муниципального образования (Далее – ЕДДС) Уссурийского городского округа отслеживается информация по </w:t>
      </w:r>
      <w:proofErr w:type="spellStart"/>
      <w:r>
        <w:rPr>
          <w:rFonts w:ascii="Times New Roman" w:eastAsia="Times New Roman" w:hAnsi="Times New Roman" w:cs="Times New Roman"/>
          <w:color w:val="000000"/>
          <w:sz w:val="28"/>
          <w:szCs w:val="28"/>
        </w:rPr>
        <w:t>термоточкам</w:t>
      </w:r>
      <w:proofErr w:type="spellEnd"/>
      <w:r>
        <w:rPr>
          <w:rFonts w:ascii="Times New Roman" w:eastAsia="Times New Roman" w:hAnsi="Times New Roman" w:cs="Times New Roman"/>
          <w:color w:val="000000"/>
          <w:sz w:val="28"/>
          <w:szCs w:val="28"/>
        </w:rPr>
        <w:t xml:space="preserve"> и возникновении природных пожаров, получаемым от ЦУКС ГУ МЧС России по Приморскому краю, а также по электронной карте лесных пожаров. Во взаимодействии с Уссурийским филиалом «</w:t>
      </w:r>
      <w:proofErr w:type="spellStart"/>
      <w:r>
        <w:rPr>
          <w:rFonts w:ascii="Times New Roman" w:eastAsia="Times New Roman" w:hAnsi="Times New Roman" w:cs="Times New Roman"/>
          <w:color w:val="000000"/>
          <w:sz w:val="28"/>
          <w:szCs w:val="28"/>
        </w:rPr>
        <w:t>Примлес</w:t>
      </w:r>
      <w:proofErr w:type="spellEnd"/>
      <w:r>
        <w:rPr>
          <w:rFonts w:ascii="Times New Roman" w:eastAsia="Times New Roman" w:hAnsi="Times New Roman" w:cs="Times New Roman"/>
          <w:color w:val="000000"/>
          <w:sz w:val="28"/>
          <w:szCs w:val="28"/>
        </w:rPr>
        <w:t>» и Уссурийским лесничеством Министерства обороны РФ уточняются места природных возгораний и пожаров по электронной информационной системе Министерства лесного хозяйства Приморского края со своевременным реагированием.</w:t>
      </w:r>
    </w:p>
    <w:p w:rsidR="00B52DE3" w:rsidRDefault="00DE73E3">
      <w:pPr>
        <w:widowControl w:val="0"/>
        <w:tabs>
          <w:tab w:val="left" w:pos="795"/>
          <w:tab w:val="left" w:pos="898"/>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ЕДДС Уссурийского городского округа имеет постоянную связь с оперативным штабом Уссурийского филиала КГКУ «</w:t>
      </w:r>
      <w:proofErr w:type="spellStart"/>
      <w:r>
        <w:rPr>
          <w:rFonts w:ascii="Times New Roman" w:eastAsia="Times New Roman" w:hAnsi="Times New Roman" w:cs="Times New Roman"/>
          <w:color w:val="000000"/>
          <w:sz w:val="28"/>
          <w:szCs w:val="28"/>
        </w:rPr>
        <w:t>Примлес</w:t>
      </w:r>
      <w:proofErr w:type="spellEnd"/>
      <w:r>
        <w:rPr>
          <w:rFonts w:ascii="Times New Roman" w:eastAsia="Times New Roman" w:hAnsi="Times New Roman" w:cs="Times New Roman"/>
          <w:color w:val="000000"/>
          <w:sz w:val="28"/>
          <w:szCs w:val="28"/>
        </w:rPr>
        <w:t xml:space="preserve">» и Уссурийским военным лесничеством для получения необходимой </w:t>
      </w:r>
      <w:r>
        <w:rPr>
          <w:rFonts w:ascii="Times New Roman" w:eastAsia="Times New Roman" w:hAnsi="Times New Roman" w:cs="Times New Roman"/>
          <w:color w:val="000000"/>
          <w:sz w:val="28"/>
          <w:szCs w:val="28"/>
        </w:rPr>
        <w:lastRenderedPageBreak/>
        <w:t>информации по тушению лесных пожаров, а также в целях налаживания взаимодействия между группами тушения лесных пожаров и ЕДДС. Осуществляется локальный мониторинг пожароопасной обстановки в круглосуточном режиме во взаимодействии с региональной диспетчерской службой Приморского края, метеорологическими станциями ФГБУ «</w:t>
      </w:r>
      <w:proofErr w:type="spellStart"/>
      <w:r>
        <w:rPr>
          <w:rFonts w:ascii="Times New Roman" w:eastAsia="Times New Roman" w:hAnsi="Times New Roman" w:cs="Times New Roman"/>
          <w:color w:val="000000"/>
          <w:sz w:val="28"/>
          <w:szCs w:val="28"/>
        </w:rPr>
        <w:t>Примгидромет</w:t>
      </w:r>
      <w:proofErr w:type="spellEnd"/>
      <w:r>
        <w:rPr>
          <w:rFonts w:ascii="Times New Roman" w:eastAsia="Times New Roman" w:hAnsi="Times New Roman" w:cs="Times New Roman"/>
          <w:color w:val="000000"/>
          <w:sz w:val="28"/>
          <w:szCs w:val="28"/>
        </w:rPr>
        <w:t>», единым диспетчерским пунктом управления КГСБУ «Приморская база авиационной, наземной охраны и защиты лесов», «ЦУКС ГУ МЧС России по Приморскому краю», единой диспетчерской службой Уссурийского филиала ФГАУ «</w:t>
      </w:r>
      <w:proofErr w:type="spellStart"/>
      <w:r>
        <w:rPr>
          <w:rFonts w:ascii="Times New Roman" w:eastAsia="Times New Roman" w:hAnsi="Times New Roman" w:cs="Times New Roman"/>
          <w:color w:val="000000"/>
          <w:sz w:val="28"/>
          <w:szCs w:val="28"/>
        </w:rPr>
        <w:t>Оборонлес</w:t>
      </w:r>
      <w:proofErr w:type="spellEnd"/>
      <w:r>
        <w:rPr>
          <w:rFonts w:ascii="Times New Roman" w:eastAsia="Times New Roman" w:hAnsi="Times New Roman" w:cs="Times New Roman"/>
          <w:color w:val="000000"/>
          <w:sz w:val="28"/>
          <w:szCs w:val="28"/>
        </w:rPr>
        <w:t xml:space="preserve">» Минобороны России. </w:t>
      </w:r>
    </w:p>
    <w:p w:rsidR="00B52DE3" w:rsidRDefault="00DE73E3">
      <w:pPr>
        <w:widowControl w:val="0"/>
        <w:tabs>
          <w:tab w:val="left" w:pos="795"/>
          <w:tab w:val="left" w:pos="898"/>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На заседаниях комиссии по предупреждению и ликвидации чрезвычайных ситуаций и обеспечению пожарной безопасности администрации Уссурийского городского округа были рассмотрены вопросы о принятии мер по усилению противопожарной защиты населенных пунктов и городских лесов в противопожарный весенне-летний и осенний периоды 2025 года с приглашением представителей лесных хозяйств различной ведомственной принадлежности, руководителей организаций. </w:t>
      </w:r>
    </w:p>
    <w:p w:rsidR="00B52DE3" w:rsidRDefault="00DE73E3">
      <w:pPr>
        <w:widowControl w:val="0"/>
        <w:tabs>
          <w:tab w:val="left" w:pos="795"/>
          <w:tab w:val="left" w:pos="898"/>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Организовано взаимодействие между ЕДДС, начальником пожарно-спасательного гарнизона, подразделениями </w:t>
      </w:r>
      <w:proofErr w:type="spellStart"/>
      <w:r>
        <w:rPr>
          <w:rFonts w:ascii="Times New Roman" w:eastAsia="Times New Roman" w:hAnsi="Times New Roman" w:cs="Times New Roman"/>
          <w:color w:val="000000"/>
          <w:sz w:val="28"/>
          <w:szCs w:val="28"/>
        </w:rPr>
        <w:t>авиалесоохраны</w:t>
      </w:r>
      <w:proofErr w:type="spellEnd"/>
      <w:r>
        <w:rPr>
          <w:rFonts w:ascii="Times New Roman" w:eastAsia="Times New Roman" w:hAnsi="Times New Roman" w:cs="Times New Roman"/>
          <w:color w:val="000000"/>
          <w:sz w:val="28"/>
          <w:szCs w:val="28"/>
        </w:rPr>
        <w:t xml:space="preserve">, пограничными заставами. </w:t>
      </w:r>
    </w:p>
    <w:p w:rsidR="00B52DE3" w:rsidRDefault="00B52DE3">
      <w:pPr>
        <w:widowControl w:val="0"/>
        <w:shd w:val="clear" w:color="auto" w:fill="FFFFFF"/>
        <w:spacing w:after="0" w:line="240" w:lineRule="auto"/>
        <w:ind w:firstLine="708"/>
        <w:jc w:val="center"/>
        <w:rPr>
          <w:rFonts w:ascii="Times New Roman" w:hAnsi="Times New Roman" w:cs="Times New Roman"/>
          <w:b/>
          <w:bCs/>
          <w:sz w:val="28"/>
          <w:szCs w:val="28"/>
        </w:rPr>
      </w:pPr>
    </w:p>
    <w:p w:rsidR="00B52DE3" w:rsidRDefault="00DE73E3">
      <w:pPr>
        <w:widowControl w:val="0"/>
        <w:shd w:val="clear" w:color="auto" w:fill="FFFFFF"/>
        <w:spacing w:after="0" w:line="240" w:lineRule="auto"/>
        <w:ind w:firstLine="708"/>
        <w:jc w:val="center"/>
        <w:rPr>
          <w:rFonts w:ascii="Times New Roman" w:hAnsi="Times New Roman" w:cs="Times New Roman"/>
          <w:sz w:val="28"/>
          <w:szCs w:val="28"/>
        </w:rPr>
      </w:pPr>
      <w:r>
        <w:rPr>
          <w:rFonts w:ascii="Times New Roman" w:eastAsia="Times New Roman" w:hAnsi="Times New Roman" w:cs="Times New Roman"/>
          <w:b/>
          <w:bCs/>
          <w:sz w:val="28"/>
          <w:szCs w:val="28"/>
        </w:rPr>
        <w:t>Обеспечение безопасности людей на водных объектах</w:t>
      </w:r>
    </w:p>
    <w:p w:rsidR="00B52DE3" w:rsidRDefault="00DE73E3">
      <w:pPr>
        <w:widowControl w:val="0"/>
        <w:shd w:val="clear" w:color="auto" w:fill="FFFFFF"/>
        <w:spacing w:after="0" w:line="240" w:lineRule="auto"/>
        <w:rPr>
          <w:rFonts w:ascii="Times New Roman" w:hAnsi="Times New Roman" w:cs="Times New Roman"/>
          <w:sz w:val="28"/>
          <w:szCs w:val="28"/>
        </w:rPr>
      </w:pPr>
      <w:r>
        <w:rPr>
          <w:rFonts w:ascii="Times New Roman" w:eastAsia="Times New Roman" w:hAnsi="Times New Roman" w:cs="Times New Roman"/>
          <w:b/>
          <w:bCs/>
          <w:sz w:val="28"/>
          <w:szCs w:val="28"/>
        </w:rPr>
        <w:t xml:space="preserve"> </w:t>
      </w:r>
    </w:p>
    <w:p w:rsidR="00B52DE3" w:rsidRDefault="00DE73E3">
      <w:pPr>
        <w:widowControl w:val="0"/>
        <w:shd w:val="clear" w:color="auto" w:fill="FFFFFF"/>
        <w:spacing w:after="0" w:line="240" w:lineRule="auto"/>
        <w:ind w:firstLine="708"/>
        <w:jc w:val="center"/>
        <w:rPr>
          <w:rFonts w:ascii="Times New Roman" w:hAnsi="Times New Roman" w:cs="Times New Roman"/>
          <w:sz w:val="28"/>
          <w:szCs w:val="28"/>
        </w:rPr>
      </w:pPr>
      <w:r>
        <w:rPr>
          <w:rFonts w:ascii="Times New Roman" w:eastAsia="Times New Roman" w:hAnsi="Times New Roman" w:cs="Times New Roman"/>
          <w:b/>
          <w:bCs/>
          <w:sz w:val="28"/>
          <w:szCs w:val="28"/>
        </w:rPr>
        <w:t>Статистические данные о погибших и пострадавших на водных объектах</w:t>
      </w:r>
    </w:p>
    <w:p w:rsidR="00B52DE3" w:rsidRDefault="00B52DE3">
      <w:pPr>
        <w:widowControl w:val="0"/>
        <w:spacing w:after="0" w:line="240" w:lineRule="auto"/>
        <w:ind w:firstLine="708"/>
        <w:jc w:val="center"/>
        <w:rPr>
          <w:rFonts w:ascii="Times New Roman" w:hAnsi="Times New Roman" w:cs="Times New Roman"/>
          <w:sz w:val="28"/>
          <w:szCs w:val="28"/>
        </w:rPr>
      </w:pPr>
    </w:p>
    <w:tbl>
      <w:tblPr>
        <w:tblW w:w="9639" w:type="dxa"/>
        <w:tblInd w:w="-4" w:type="dxa"/>
        <w:tblLayout w:type="fixed"/>
        <w:tblLook w:val="04A0"/>
      </w:tblPr>
      <w:tblGrid>
        <w:gridCol w:w="709"/>
        <w:gridCol w:w="6661"/>
        <w:gridCol w:w="1136"/>
        <w:gridCol w:w="1133"/>
      </w:tblGrid>
      <w:tr w:rsidR="00B52DE3">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left="-108" w:right="-108"/>
              <w:jc w:val="center"/>
              <w:rPr>
                <w:rFonts w:ascii="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w:t>
            </w:r>
            <w:proofErr w:type="spell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6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Показатели</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2024 год</w:t>
            </w:r>
          </w:p>
        </w:tc>
        <w:tc>
          <w:tcPr>
            <w:tcW w:w="1133"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2025 год</w:t>
            </w:r>
          </w:p>
        </w:tc>
      </w:tr>
      <w:tr w:rsidR="00B52DE3">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left="-108" w:right="-108"/>
              <w:jc w:val="center"/>
              <w:rPr>
                <w:rFonts w:ascii="Times New Roman" w:hAnsi="Times New Roman" w:cs="Times New Roman"/>
                <w:sz w:val="28"/>
                <w:szCs w:val="28"/>
              </w:rPr>
            </w:pPr>
            <w:r>
              <w:rPr>
                <w:rFonts w:ascii="Times New Roman" w:eastAsia="Times New Roman" w:hAnsi="Times New Roman" w:cs="Times New Roman"/>
                <w:sz w:val="28"/>
                <w:szCs w:val="28"/>
              </w:rPr>
              <w:t>1</w:t>
            </w:r>
          </w:p>
        </w:tc>
        <w:tc>
          <w:tcPr>
            <w:tcW w:w="6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2</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3</w:t>
            </w:r>
          </w:p>
        </w:tc>
        <w:tc>
          <w:tcPr>
            <w:tcW w:w="1133"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4</w:t>
            </w:r>
          </w:p>
        </w:tc>
      </w:tr>
      <w:tr w:rsidR="00B52DE3">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w:t>
            </w: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Утонуло на оборудованных и разрешённых местах для купания водных объектах</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0</w:t>
            </w:r>
          </w:p>
        </w:tc>
        <w:tc>
          <w:tcPr>
            <w:tcW w:w="1133"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0</w:t>
            </w:r>
          </w:p>
        </w:tc>
      </w:tr>
      <w:tr w:rsidR="00B52DE3">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2.</w:t>
            </w: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 Утонуло на необорудованных и неразрешённых водных объектах для купания</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920545">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2</w:t>
            </w:r>
          </w:p>
        </w:tc>
      </w:tr>
      <w:tr w:rsidR="00B52DE3">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3.</w:t>
            </w: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Среди утонувших:</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B52DE3">
            <w:pPr>
              <w:widowControl w:val="0"/>
              <w:spacing w:after="0" w:line="240" w:lineRule="auto"/>
              <w:jc w:val="center"/>
              <w:rPr>
                <w:rFonts w:ascii="Times New Roman" w:hAnsi="Times New Roman" w:cs="Times New Roman"/>
                <w:sz w:val="28"/>
                <w:szCs w:val="28"/>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B52DE3">
            <w:pPr>
              <w:widowControl w:val="0"/>
              <w:spacing w:after="0" w:line="240" w:lineRule="auto"/>
              <w:jc w:val="center"/>
              <w:rPr>
                <w:rFonts w:ascii="Times New Roman" w:hAnsi="Times New Roman" w:cs="Times New Roman"/>
                <w:sz w:val="28"/>
                <w:szCs w:val="28"/>
              </w:rPr>
            </w:pPr>
          </w:p>
        </w:tc>
      </w:tr>
      <w:tr w:rsidR="00B52DE3">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sz w:val="28"/>
                <w:szCs w:val="28"/>
              </w:rPr>
            </w:pP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мужчины</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920545">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2</w:t>
            </w:r>
          </w:p>
        </w:tc>
      </w:tr>
      <w:tr w:rsidR="00B52DE3">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sz w:val="28"/>
                <w:szCs w:val="28"/>
              </w:rPr>
            </w:pP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женщины</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0</w:t>
            </w:r>
          </w:p>
        </w:tc>
      </w:tr>
      <w:tr w:rsidR="00B52DE3">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sz w:val="28"/>
                <w:szCs w:val="28"/>
              </w:rPr>
            </w:pP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дети</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0</w:t>
            </w:r>
          </w:p>
        </w:tc>
      </w:tr>
      <w:tr w:rsidR="00B52DE3">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4.</w:t>
            </w: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Иностранные граждане</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0</w:t>
            </w:r>
          </w:p>
        </w:tc>
      </w:tr>
      <w:tr w:rsidR="00B52DE3">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5.</w:t>
            </w: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Утонуло (всего):</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920545">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2</w:t>
            </w:r>
          </w:p>
        </w:tc>
      </w:tr>
      <w:tr w:rsidR="00B52DE3">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sz w:val="28"/>
                <w:szCs w:val="28"/>
              </w:rPr>
            </w:pP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в период купального сезона</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Pr="00A822AA" w:rsidRDefault="00D94F0C">
            <w:pPr>
              <w:widowControl w:val="0"/>
              <w:spacing w:after="0" w:line="240" w:lineRule="auto"/>
              <w:jc w:val="center"/>
              <w:rPr>
                <w:rFonts w:ascii="Times New Roman" w:hAnsi="Times New Roman" w:cs="Times New Roman"/>
                <w:sz w:val="28"/>
                <w:szCs w:val="28"/>
                <w:highlight w:val="yellow"/>
              </w:rPr>
            </w:pPr>
            <w:r>
              <w:rPr>
                <w:rFonts w:ascii="Times New Roman" w:eastAsia="Times New Roman" w:hAnsi="Times New Roman" w:cs="Times New Roman"/>
                <w:sz w:val="28"/>
                <w:szCs w:val="28"/>
              </w:rPr>
              <w:t>1</w:t>
            </w:r>
          </w:p>
        </w:tc>
      </w:tr>
      <w:tr w:rsidR="00B52DE3">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sz w:val="28"/>
                <w:szCs w:val="28"/>
              </w:rPr>
            </w:pPr>
          </w:p>
        </w:tc>
        <w:tc>
          <w:tcPr>
            <w:tcW w:w="66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в некупальный период</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94F0C">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w:t>
            </w:r>
          </w:p>
        </w:tc>
      </w:tr>
      <w:tr w:rsidR="00B52DE3">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sz w:val="28"/>
                <w:szCs w:val="28"/>
              </w:rPr>
            </w:pPr>
          </w:p>
        </w:tc>
        <w:tc>
          <w:tcPr>
            <w:tcW w:w="6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по месяцам</w:t>
            </w:r>
          </w:p>
        </w:tc>
        <w:tc>
          <w:tcPr>
            <w:tcW w:w="113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июнь - 1</w:t>
            </w:r>
          </w:p>
        </w:tc>
        <w:tc>
          <w:tcPr>
            <w:tcW w:w="1133" w:type="dxa"/>
            <w:tcBorders>
              <w:top w:val="single" w:sz="4" w:space="0" w:color="000000"/>
              <w:left w:val="single" w:sz="4" w:space="0" w:color="000000"/>
              <w:bottom w:val="single" w:sz="4" w:space="0" w:color="000000"/>
              <w:right w:val="single" w:sz="4" w:space="0" w:color="000000"/>
            </w:tcBorders>
            <w:vAlign w:val="center"/>
          </w:tcPr>
          <w:p w:rsidR="00B52DE3" w:rsidRDefault="00B52DE3">
            <w:pPr>
              <w:widowControl w:val="0"/>
              <w:spacing w:after="0" w:line="240" w:lineRule="auto"/>
              <w:jc w:val="center"/>
              <w:rPr>
                <w:rFonts w:ascii="Times New Roman" w:hAnsi="Times New Roman" w:cs="Times New Roman"/>
                <w:sz w:val="28"/>
                <w:szCs w:val="28"/>
              </w:rPr>
            </w:pPr>
          </w:p>
          <w:p w:rsidR="00B52DE3" w:rsidRDefault="00920545">
            <w:pPr>
              <w:widowControl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июнь – 2</w:t>
            </w:r>
          </w:p>
          <w:p w:rsidR="00B52DE3" w:rsidRDefault="00B52DE3">
            <w:pPr>
              <w:widowControl w:val="0"/>
              <w:spacing w:after="0" w:line="240" w:lineRule="auto"/>
              <w:jc w:val="center"/>
              <w:rPr>
                <w:rFonts w:ascii="Times New Roman" w:hAnsi="Times New Roman" w:cs="Times New Roman"/>
                <w:sz w:val="28"/>
                <w:szCs w:val="28"/>
              </w:rPr>
            </w:pPr>
          </w:p>
        </w:tc>
      </w:tr>
    </w:tbl>
    <w:p w:rsidR="00B52DE3" w:rsidRDefault="00B52DE3">
      <w:pPr>
        <w:widowControl w:val="0"/>
        <w:spacing w:after="0" w:line="240" w:lineRule="auto"/>
        <w:jc w:val="center"/>
        <w:rPr>
          <w:rFonts w:ascii="Times New Roman" w:hAnsi="Times New Roman" w:cs="Times New Roman"/>
          <w:sz w:val="28"/>
          <w:szCs w:val="28"/>
        </w:rPr>
      </w:pPr>
    </w:p>
    <w:p w:rsidR="00B52DE3" w:rsidRDefault="00DE73E3">
      <w:pPr>
        <w:widowControl w:val="0"/>
        <w:spacing w:after="0" w:line="240" w:lineRule="auto"/>
        <w:ind w:firstLine="709"/>
        <w:jc w:val="center"/>
        <w:rPr>
          <w:rFonts w:ascii="Times New Roman" w:hAnsi="Times New Roman" w:cs="Times New Roman"/>
          <w:sz w:val="28"/>
          <w:szCs w:val="28"/>
        </w:rPr>
      </w:pPr>
      <w:r>
        <w:rPr>
          <w:rFonts w:ascii="Times New Roman" w:eastAsia="Times New Roman" w:hAnsi="Times New Roman" w:cs="Times New Roman"/>
          <w:b/>
          <w:bCs/>
          <w:sz w:val="28"/>
          <w:szCs w:val="28"/>
        </w:rPr>
        <w:t>Мероприятия по обеспечению безопасности людей на водных объектах</w:t>
      </w:r>
    </w:p>
    <w:p w:rsidR="00B52DE3" w:rsidRDefault="00B52DE3">
      <w:pPr>
        <w:widowControl w:val="0"/>
        <w:spacing w:after="0" w:line="240" w:lineRule="auto"/>
        <w:ind w:firstLine="709"/>
        <w:jc w:val="center"/>
        <w:rPr>
          <w:rFonts w:ascii="Times New Roman" w:hAnsi="Times New Roman" w:cs="Times New Roman"/>
          <w:sz w:val="28"/>
          <w:szCs w:val="28"/>
        </w:rPr>
      </w:pPr>
    </w:p>
    <w:p w:rsidR="00B52DE3" w:rsidRDefault="00DE73E3">
      <w:pPr>
        <w:widowControl w:val="0"/>
        <w:tabs>
          <w:tab w:val="left" w:pos="1245"/>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 Уссурийского городского округа были определены сроки купального сезона в 2025 году.</w:t>
      </w:r>
    </w:p>
    <w:p w:rsidR="00B52DE3" w:rsidRDefault="00DE73E3">
      <w:pPr>
        <w:widowControl w:val="0"/>
        <w:tabs>
          <w:tab w:val="left" w:pos="1245"/>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По причине неудовлетворительного санитарно-эпидемиологического состояния воды и почвы вблизи водных объектов купание в местах массового отдыха на территории Уссурийского городского округа в 2025 году было запрещено.</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На пляже «Берег детства» и базе отдыха «Благодать» для купания отдыхающих обустроены бассейны.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Организована разъяснительная работа с населением через средства массовой информации, размещено 12 выступлений о гибели людей на воде.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общеобразовательных учреждениях с учащимися были проведены дополнительные мероприятия по обеспечению безопасности на водных объектах. В ходе индивидуальной работы работников администрации, управления по делам ГО и ЧС с отдыхающими в местах купания разъяснялись требования Губернатора Приморского края по соблюдению правил пользования водными объектами. Были установлены плакаты и предупреждающие знаки о запрете купания на границах водных объектов, не определенных для купания.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На заседаниях </w:t>
      </w:r>
      <w:r>
        <w:rPr>
          <w:rFonts w:ascii="Times New Roman" w:eastAsia="Times New Roman" w:hAnsi="Times New Roman" w:cs="Times New Roman"/>
          <w:bCs/>
          <w:sz w:val="28"/>
          <w:szCs w:val="28"/>
        </w:rPr>
        <w:t>комиссии</w:t>
      </w:r>
      <w:r>
        <w:rPr>
          <w:rFonts w:ascii="Times New Roman" w:eastAsia="Times New Roman" w:hAnsi="Times New Roman" w:cs="Times New Roman"/>
          <w:sz w:val="28"/>
          <w:szCs w:val="28"/>
        </w:rPr>
        <w:t xml:space="preserve"> по предупреждению и ликвидации </w:t>
      </w:r>
      <w:r>
        <w:rPr>
          <w:rFonts w:ascii="Times New Roman" w:eastAsia="Times New Roman" w:hAnsi="Times New Roman" w:cs="Times New Roman"/>
          <w:bCs/>
          <w:sz w:val="28"/>
          <w:szCs w:val="28"/>
        </w:rPr>
        <w:lastRenderedPageBreak/>
        <w:t>чрезвычайных</w:t>
      </w:r>
      <w:r>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rPr>
        <w:t>ситуаций</w:t>
      </w:r>
      <w:r>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rPr>
        <w:t>и</w:t>
      </w:r>
      <w:r>
        <w:rPr>
          <w:rFonts w:ascii="Times New Roman" w:eastAsia="Times New Roman" w:hAnsi="Times New Roman" w:cs="Times New Roman"/>
          <w:sz w:val="28"/>
          <w:szCs w:val="28"/>
        </w:rPr>
        <w:t xml:space="preserve"> обеспечению пожарной безопасности (далее – КЧС и ОПБ) администрации Уссурийского городского округа рассматривались вопросы по обеспечению безопасности людей на водных объектах в зимний и летний периоды 2025 года. </w:t>
      </w:r>
    </w:p>
    <w:p w:rsidR="00B52DE3" w:rsidRDefault="00B52DE3">
      <w:pPr>
        <w:widowControl w:val="0"/>
        <w:spacing w:after="0" w:line="240" w:lineRule="auto"/>
        <w:ind w:firstLine="708"/>
        <w:jc w:val="both"/>
        <w:rPr>
          <w:rFonts w:ascii="Times New Roman" w:hAnsi="Times New Roman" w:cs="Times New Roman"/>
          <w:sz w:val="24"/>
          <w:szCs w:val="24"/>
        </w:rPr>
      </w:pPr>
    </w:p>
    <w:p w:rsidR="00B52DE3" w:rsidRDefault="00DE73E3">
      <w:pPr>
        <w:widowControl w:val="0"/>
        <w:spacing w:after="0" w:line="240" w:lineRule="auto"/>
        <w:ind w:firstLine="708"/>
        <w:jc w:val="center"/>
        <w:rPr>
          <w:rFonts w:ascii="Times New Roman" w:hAnsi="Times New Roman" w:cs="Times New Roman"/>
        </w:rPr>
      </w:pPr>
      <w:r>
        <w:rPr>
          <w:rFonts w:ascii="Times New Roman" w:eastAsia="Times New Roman" w:hAnsi="Times New Roman" w:cs="Times New Roman"/>
          <w:b/>
          <w:bCs/>
          <w:sz w:val="28"/>
          <w:szCs w:val="24"/>
        </w:rPr>
        <w:t>Мероприятия по предупреждению чрезвычайных ситуаций</w:t>
      </w:r>
    </w:p>
    <w:p w:rsidR="00B52DE3" w:rsidRDefault="00B52DE3">
      <w:pPr>
        <w:widowControl w:val="0"/>
        <w:spacing w:after="0" w:line="240" w:lineRule="auto"/>
        <w:rPr>
          <w:rFonts w:ascii="Times New Roman" w:hAnsi="Times New Roman" w:cs="Times New Roman"/>
          <w:bCs/>
          <w:i/>
          <w:sz w:val="24"/>
          <w:szCs w:val="24"/>
        </w:rPr>
      </w:pPr>
    </w:p>
    <w:tbl>
      <w:tblPr>
        <w:tblpPr w:leftFromText="180" w:rightFromText="180" w:vertAnchor="text" w:horzAnchor="margin" w:tblpXSpec="center" w:tblpY="-60"/>
        <w:tblW w:w="10598" w:type="dxa"/>
        <w:jc w:val="center"/>
        <w:tblLayout w:type="fixed"/>
        <w:tblLook w:val="04A0"/>
      </w:tblPr>
      <w:tblGrid>
        <w:gridCol w:w="710"/>
        <w:gridCol w:w="1526"/>
        <w:gridCol w:w="1276"/>
        <w:gridCol w:w="1417"/>
        <w:gridCol w:w="1134"/>
        <w:gridCol w:w="1278"/>
        <w:gridCol w:w="994"/>
        <w:gridCol w:w="710"/>
        <w:gridCol w:w="994"/>
        <w:gridCol w:w="559"/>
      </w:tblGrid>
      <w:tr w:rsidR="00B52DE3">
        <w:trPr>
          <w:jc w:val="center"/>
        </w:trPr>
        <w:tc>
          <w:tcPr>
            <w:tcW w:w="709" w:type="dxa"/>
            <w:vMerge w:val="restart"/>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ind w:left="-142" w:right="-108"/>
              <w:jc w:val="center"/>
              <w:rPr>
                <w:rFonts w:ascii="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п</w:t>
            </w:r>
            <w:proofErr w:type="spellEnd"/>
            <w:r>
              <w:rPr>
                <w:rFonts w:ascii="Times New Roman" w:eastAsia="Times New Roman" w:hAnsi="Times New Roman" w:cs="Times New Roman"/>
              </w:rPr>
              <w:t>/</w:t>
            </w:r>
            <w:proofErr w:type="spellStart"/>
            <w:r>
              <w:rPr>
                <w:rFonts w:ascii="Times New Roman" w:eastAsia="Times New Roman" w:hAnsi="Times New Roman" w:cs="Times New Roman"/>
              </w:rPr>
              <w:t>п</w:t>
            </w:r>
            <w:proofErr w:type="spellEnd"/>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left="-142" w:right="-108"/>
              <w:jc w:val="center"/>
              <w:rPr>
                <w:rFonts w:ascii="Times New Roman" w:hAnsi="Times New Roman" w:cs="Times New Roman"/>
              </w:rPr>
            </w:pPr>
            <w:proofErr w:type="spellStart"/>
            <w:r>
              <w:rPr>
                <w:rFonts w:ascii="Times New Roman" w:eastAsia="Times New Roman" w:hAnsi="Times New Roman" w:cs="Times New Roman"/>
              </w:rPr>
              <w:t>Муници-пальное</w:t>
            </w:r>
            <w:proofErr w:type="spellEnd"/>
            <w:r>
              <w:rPr>
                <w:rFonts w:ascii="Times New Roman" w:eastAsia="Times New Roman" w:hAnsi="Times New Roman" w:cs="Times New Roman"/>
              </w:rPr>
              <w:t xml:space="preserve"> образование</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left="-108" w:right="-108"/>
              <w:jc w:val="center"/>
              <w:rPr>
                <w:rFonts w:ascii="Times New Roman" w:hAnsi="Times New Roman" w:cs="Times New Roman"/>
              </w:rPr>
            </w:pPr>
            <w:r>
              <w:rPr>
                <w:rFonts w:ascii="Times New Roman" w:eastAsia="Times New Roman" w:hAnsi="Times New Roman" w:cs="Times New Roman"/>
              </w:rPr>
              <w:t xml:space="preserve">Устройство </w:t>
            </w:r>
            <w:proofErr w:type="spellStart"/>
            <w:r>
              <w:rPr>
                <w:rFonts w:ascii="Times New Roman" w:eastAsia="Times New Roman" w:hAnsi="Times New Roman" w:cs="Times New Roman"/>
              </w:rPr>
              <w:t>миннира-лизованных</w:t>
            </w:r>
            <w:proofErr w:type="spellEnd"/>
            <w:r>
              <w:rPr>
                <w:rFonts w:ascii="Times New Roman" w:eastAsia="Times New Roman" w:hAnsi="Times New Roman" w:cs="Times New Roman"/>
              </w:rPr>
              <w:t xml:space="preserve"> полос (км)</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left="-108" w:right="-108"/>
              <w:jc w:val="center"/>
              <w:rPr>
                <w:rFonts w:ascii="Times New Roman" w:hAnsi="Times New Roman" w:cs="Times New Roman"/>
              </w:rPr>
            </w:pPr>
            <w:proofErr w:type="spellStart"/>
            <w:r>
              <w:rPr>
                <w:rFonts w:ascii="Times New Roman" w:eastAsia="Times New Roman" w:hAnsi="Times New Roman" w:cs="Times New Roman"/>
              </w:rPr>
              <w:t>Строитель-ство</w:t>
            </w:r>
            <w:proofErr w:type="spellEnd"/>
            <w:r>
              <w:rPr>
                <w:rFonts w:ascii="Times New Roman" w:eastAsia="Times New Roman" w:hAnsi="Times New Roman" w:cs="Times New Roman"/>
              </w:rPr>
              <w:t xml:space="preserve"> и </w:t>
            </w:r>
            <w:proofErr w:type="spellStart"/>
            <w:r>
              <w:rPr>
                <w:rFonts w:ascii="Times New Roman" w:eastAsia="Times New Roman" w:hAnsi="Times New Roman" w:cs="Times New Roman"/>
              </w:rPr>
              <w:t>реконструк-ция</w:t>
            </w:r>
            <w:proofErr w:type="spellEnd"/>
            <w:r>
              <w:rPr>
                <w:rFonts w:ascii="Times New Roman" w:eastAsia="Times New Roman" w:hAnsi="Times New Roman" w:cs="Times New Roman"/>
              </w:rPr>
              <w:t xml:space="preserve"> дорог </w:t>
            </w:r>
            <w:proofErr w:type="spellStart"/>
            <w:r>
              <w:rPr>
                <w:rFonts w:ascii="Times New Roman" w:eastAsia="Times New Roman" w:hAnsi="Times New Roman" w:cs="Times New Roman"/>
              </w:rPr>
              <w:t>противо-пожарного</w:t>
            </w:r>
            <w:proofErr w:type="spellEnd"/>
            <w:r>
              <w:rPr>
                <w:rFonts w:ascii="Times New Roman" w:eastAsia="Times New Roman" w:hAnsi="Times New Roman" w:cs="Times New Roman"/>
              </w:rPr>
              <w:t xml:space="preserve"> назначения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left="-108" w:right="-108"/>
              <w:jc w:val="center"/>
              <w:rPr>
                <w:rFonts w:ascii="Times New Roman" w:hAnsi="Times New Roman" w:cs="Times New Roman"/>
              </w:rPr>
            </w:pPr>
            <w:proofErr w:type="spellStart"/>
            <w:r>
              <w:rPr>
                <w:rFonts w:ascii="Times New Roman" w:eastAsia="Times New Roman" w:hAnsi="Times New Roman" w:cs="Times New Roman"/>
              </w:rPr>
              <w:t>Проклад-ка</w:t>
            </w:r>
            <w:proofErr w:type="spellEnd"/>
            <w:r>
              <w:rPr>
                <w:rFonts w:ascii="Times New Roman" w:eastAsia="Times New Roman" w:hAnsi="Times New Roman" w:cs="Times New Roman"/>
              </w:rPr>
              <w:t xml:space="preserve"> просек, </w:t>
            </w:r>
            <w:proofErr w:type="spellStart"/>
            <w:r>
              <w:rPr>
                <w:rFonts w:ascii="Times New Roman" w:eastAsia="Times New Roman" w:hAnsi="Times New Roman" w:cs="Times New Roman"/>
              </w:rPr>
              <w:t>противо-пожарных</w:t>
            </w:r>
            <w:proofErr w:type="spellEnd"/>
            <w:r>
              <w:rPr>
                <w:rFonts w:ascii="Times New Roman" w:eastAsia="Times New Roman" w:hAnsi="Times New Roman" w:cs="Times New Roman"/>
              </w:rPr>
              <w:t xml:space="preserve"> разрывов (км)</w:t>
            </w:r>
          </w:p>
        </w:tc>
        <w:tc>
          <w:tcPr>
            <w:tcW w:w="127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left="-108" w:right="-108"/>
              <w:jc w:val="center"/>
              <w:rPr>
                <w:rFonts w:ascii="Times New Roman" w:hAnsi="Times New Roman" w:cs="Times New Roman"/>
              </w:rPr>
            </w:pPr>
            <w:r>
              <w:rPr>
                <w:rFonts w:ascii="Times New Roman" w:eastAsia="Times New Roman" w:hAnsi="Times New Roman" w:cs="Times New Roman"/>
              </w:rPr>
              <w:t>Устройство пожарных водоемов (шт.)</w:t>
            </w:r>
          </w:p>
        </w:tc>
        <w:tc>
          <w:tcPr>
            <w:tcW w:w="3257" w:type="dxa"/>
            <w:gridSpan w:val="4"/>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Источники финансирования (млн. руб.)</w:t>
            </w:r>
          </w:p>
        </w:tc>
      </w:tr>
      <w:tr w:rsidR="00B52DE3">
        <w:trPr>
          <w:cantSplit/>
          <w:trHeight w:val="1134"/>
          <w:jc w:val="center"/>
        </w:trPr>
        <w:tc>
          <w:tcPr>
            <w:tcW w:w="709"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276"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417"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134"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278"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994"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ind w:left="113" w:right="113"/>
              <w:jc w:val="center"/>
              <w:rPr>
                <w:rFonts w:ascii="Times New Roman" w:hAnsi="Times New Roman" w:cs="Times New Roman"/>
              </w:rPr>
            </w:pPr>
            <w:r>
              <w:rPr>
                <w:rFonts w:ascii="Times New Roman" w:eastAsia="Times New Roman" w:hAnsi="Times New Roman" w:cs="Times New Roman"/>
              </w:rPr>
              <w:t>Федеральный бюджет</w:t>
            </w:r>
          </w:p>
        </w:tc>
        <w:tc>
          <w:tcPr>
            <w:tcW w:w="710"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ind w:left="113" w:right="113"/>
              <w:jc w:val="center"/>
              <w:rPr>
                <w:rFonts w:ascii="Times New Roman" w:hAnsi="Times New Roman" w:cs="Times New Roman"/>
              </w:rPr>
            </w:pPr>
            <w:proofErr w:type="spellStart"/>
            <w:r>
              <w:rPr>
                <w:rFonts w:ascii="Times New Roman" w:eastAsia="Times New Roman" w:hAnsi="Times New Roman" w:cs="Times New Roman"/>
              </w:rPr>
              <w:t>Субъек-товый</w:t>
            </w:r>
            <w:proofErr w:type="spellEnd"/>
            <w:r>
              <w:rPr>
                <w:rFonts w:ascii="Times New Roman" w:eastAsia="Times New Roman" w:hAnsi="Times New Roman" w:cs="Times New Roman"/>
              </w:rPr>
              <w:t xml:space="preserve"> бюджет</w:t>
            </w:r>
          </w:p>
        </w:tc>
        <w:tc>
          <w:tcPr>
            <w:tcW w:w="994"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ind w:left="113" w:right="113"/>
              <w:jc w:val="center"/>
              <w:rPr>
                <w:rFonts w:ascii="Times New Roman" w:hAnsi="Times New Roman" w:cs="Times New Roman"/>
              </w:rPr>
            </w:pPr>
            <w:proofErr w:type="spellStart"/>
            <w:r>
              <w:rPr>
                <w:rFonts w:ascii="Times New Roman" w:eastAsia="Times New Roman" w:hAnsi="Times New Roman" w:cs="Times New Roman"/>
              </w:rPr>
              <w:t>Мунципальный</w:t>
            </w:r>
            <w:proofErr w:type="spellEnd"/>
            <w:r>
              <w:rPr>
                <w:rFonts w:ascii="Times New Roman" w:eastAsia="Times New Roman" w:hAnsi="Times New Roman" w:cs="Times New Roman"/>
              </w:rPr>
              <w:t xml:space="preserve"> бюджет</w:t>
            </w:r>
          </w:p>
        </w:tc>
        <w:tc>
          <w:tcPr>
            <w:tcW w:w="559"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ind w:left="113" w:right="113"/>
              <w:jc w:val="center"/>
              <w:rPr>
                <w:rFonts w:ascii="Times New Roman" w:hAnsi="Times New Roman" w:cs="Times New Roman"/>
              </w:rPr>
            </w:pPr>
            <w:r>
              <w:rPr>
                <w:rFonts w:ascii="Times New Roman" w:eastAsia="Times New Roman" w:hAnsi="Times New Roman" w:cs="Times New Roman"/>
              </w:rPr>
              <w:t>Иные</w:t>
            </w:r>
          </w:p>
        </w:tc>
      </w:tr>
      <w:tr w:rsidR="00B52DE3">
        <w:trPr>
          <w:cantSplit/>
          <w:trHeight w:val="389"/>
          <w:jc w:val="center"/>
        </w:trPr>
        <w:tc>
          <w:tcPr>
            <w:tcW w:w="7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w:t>
            </w:r>
          </w:p>
        </w:tc>
        <w:tc>
          <w:tcPr>
            <w:tcW w:w="152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5</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6</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7</w:t>
            </w:r>
          </w:p>
        </w:tc>
        <w:tc>
          <w:tcPr>
            <w:tcW w:w="71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8</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9</w:t>
            </w:r>
          </w:p>
        </w:tc>
        <w:tc>
          <w:tcPr>
            <w:tcW w:w="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10</w:t>
            </w:r>
          </w:p>
        </w:tc>
      </w:tr>
      <w:tr w:rsidR="00B52DE3">
        <w:trPr>
          <w:jc w:val="center"/>
        </w:trPr>
        <w:tc>
          <w:tcPr>
            <w:tcW w:w="709"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ind w:left="-142" w:right="-108"/>
              <w:jc w:val="center"/>
              <w:rPr>
                <w:rFonts w:ascii="Times New Roman" w:hAnsi="Times New Roman" w:cs="Times New Roman"/>
              </w:rPr>
            </w:pPr>
            <w:r>
              <w:rPr>
                <w:rFonts w:ascii="Times New Roman" w:eastAsia="Times New Roman" w:hAnsi="Times New Roman" w:cs="Times New Roman"/>
              </w:rPr>
              <w:t>1.</w:t>
            </w:r>
          </w:p>
        </w:tc>
        <w:tc>
          <w:tcPr>
            <w:tcW w:w="152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left="-142" w:right="-108"/>
              <w:jc w:val="center"/>
              <w:rPr>
                <w:rFonts w:ascii="Times New Roman" w:hAnsi="Times New Roman" w:cs="Times New Roman"/>
              </w:rPr>
            </w:pPr>
            <w:r>
              <w:rPr>
                <w:rFonts w:ascii="Times New Roman" w:eastAsia="Times New Roman" w:hAnsi="Times New Roman" w:cs="Times New Roman"/>
              </w:rPr>
              <w:t>Уссурийский городской</w:t>
            </w:r>
          </w:p>
          <w:p w:rsidR="00B52DE3" w:rsidRDefault="00DE73E3">
            <w:pPr>
              <w:widowControl w:val="0"/>
              <w:spacing w:after="0" w:line="240" w:lineRule="auto"/>
              <w:ind w:left="-142" w:right="-108"/>
              <w:jc w:val="center"/>
              <w:rPr>
                <w:rFonts w:ascii="Times New Roman" w:hAnsi="Times New Roman" w:cs="Times New Roman"/>
              </w:rPr>
            </w:pPr>
            <w:r>
              <w:rPr>
                <w:rFonts w:ascii="Times New Roman" w:eastAsia="Times New Roman" w:hAnsi="Times New Roman" w:cs="Times New Roman"/>
              </w:rPr>
              <w:t>округ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36,4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0</w:t>
            </w:r>
          </w:p>
        </w:tc>
        <w:tc>
          <w:tcPr>
            <w:tcW w:w="12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0</w:t>
            </w:r>
          </w:p>
        </w:tc>
        <w:tc>
          <w:tcPr>
            <w:tcW w:w="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0</w:t>
            </w:r>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0</w:t>
            </w:r>
          </w:p>
        </w:tc>
        <w:tc>
          <w:tcPr>
            <w:tcW w:w="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1,725</w:t>
            </w:r>
          </w:p>
        </w:tc>
        <w:tc>
          <w:tcPr>
            <w:tcW w:w="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0</w:t>
            </w:r>
          </w:p>
        </w:tc>
      </w:tr>
    </w:tbl>
    <w:p w:rsidR="00B52DE3" w:rsidRDefault="00B52DE3">
      <w:pPr>
        <w:widowControl w:val="0"/>
        <w:spacing w:after="0" w:line="240" w:lineRule="auto"/>
        <w:ind w:firstLine="720"/>
        <w:jc w:val="right"/>
        <w:rPr>
          <w:rFonts w:ascii="Times New Roman" w:hAnsi="Times New Roman" w:cs="Times New Roman"/>
          <w:i/>
          <w:sz w:val="24"/>
          <w:szCs w:val="24"/>
        </w:rPr>
      </w:pPr>
    </w:p>
    <w:p w:rsidR="00B52DE3" w:rsidRDefault="00B52DE3">
      <w:pPr>
        <w:widowControl w:val="0"/>
        <w:spacing w:after="0" w:line="240" w:lineRule="auto"/>
        <w:ind w:firstLine="720"/>
        <w:jc w:val="center"/>
        <w:rPr>
          <w:rFonts w:ascii="Times New Roman" w:hAnsi="Times New Roman" w:cs="Times New Roman"/>
          <w:b/>
          <w:bCs/>
        </w:rPr>
      </w:pPr>
    </w:p>
    <w:p w:rsidR="00B52DE3" w:rsidRDefault="00DE73E3">
      <w:pPr>
        <w:widowControl w:val="0"/>
        <w:spacing w:after="0" w:line="240" w:lineRule="auto"/>
        <w:ind w:firstLine="720"/>
        <w:jc w:val="center"/>
        <w:rPr>
          <w:rFonts w:ascii="Times New Roman" w:hAnsi="Times New Roman" w:cs="Times New Roman"/>
          <w:sz w:val="28"/>
          <w:szCs w:val="28"/>
        </w:rPr>
      </w:pPr>
      <w:r>
        <w:rPr>
          <w:rFonts w:ascii="Times New Roman" w:eastAsia="Times New Roman" w:hAnsi="Times New Roman" w:cs="Times New Roman"/>
          <w:b/>
          <w:bCs/>
          <w:sz w:val="28"/>
          <w:szCs w:val="28"/>
        </w:rPr>
        <w:t>Сведения о выполненных мероприятиях в паводковый период</w:t>
      </w:r>
    </w:p>
    <w:p w:rsidR="00B52DE3" w:rsidRDefault="00DE73E3">
      <w:pPr>
        <w:widowControl w:val="0"/>
        <w:spacing w:after="0" w:line="240" w:lineRule="auto"/>
        <w:ind w:firstLine="720"/>
        <w:jc w:val="center"/>
        <w:rPr>
          <w:rFonts w:ascii="Times New Roman" w:hAnsi="Times New Roman" w:cs="Times New Roman"/>
          <w:sz w:val="28"/>
          <w:szCs w:val="28"/>
        </w:rPr>
      </w:pPr>
      <w:r>
        <w:rPr>
          <w:rFonts w:ascii="Times New Roman" w:eastAsia="Times New Roman" w:hAnsi="Times New Roman" w:cs="Times New Roman"/>
          <w:b/>
          <w:bCs/>
          <w:sz w:val="28"/>
          <w:szCs w:val="28"/>
        </w:rPr>
        <w:t>в 2025 году (ледовые заторы на реках)</w:t>
      </w:r>
    </w:p>
    <w:p w:rsidR="00B52DE3" w:rsidRDefault="00B52DE3">
      <w:pPr>
        <w:widowControl w:val="0"/>
        <w:spacing w:after="0" w:line="240" w:lineRule="auto"/>
        <w:ind w:firstLine="720"/>
        <w:jc w:val="center"/>
        <w:rPr>
          <w:rFonts w:ascii="Times New Roman" w:hAnsi="Times New Roman" w:cs="Times New Roman"/>
          <w:b/>
          <w:bCs/>
        </w:rPr>
      </w:pPr>
    </w:p>
    <w:tbl>
      <w:tblPr>
        <w:tblW w:w="10456" w:type="dxa"/>
        <w:jc w:val="center"/>
        <w:tblLayout w:type="fixed"/>
        <w:tblLook w:val="04A0"/>
      </w:tblPr>
      <w:tblGrid>
        <w:gridCol w:w="564"/>
        <w:gridCol w:w="1954"/>
        <w:gridCol w:w="996"/>
        <w:gridCol w:w="991"/>
        <w:gridCol w:w="423"/>
        <w:gridCol w:w="1071"/>
        <w:gridCol w:w="937"/>
        <w:gridCol w:w="691"/>
        <w:gridCol w:w="1278"/>
        <w:gridCol w:w="991"/>
        <w:gridCol w:w="560"/>
      </w:tblGrid>
      <w:tr w:rsidR="00B52DE3">
        <w:trPr>
          <w:jc w:val="center"/>
        </w:trPr>
        <w:tc>
          <w:tcPr>
            <w:tcW w:w="563" w:type="dxa"/>
            <w:vMerge w:val="restart"/>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ind w:left="-142" w:right="-108"/>
              <w:jc w:val="center"/>
              <w:rPr>
                <w:rFonts w:ascii="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п</w:t>
            </w:r>
            <w:proofErr w:type="spellEnd"/>
            <w:r>
              <w:rPr>
                <w:rFonts w:ascii="Times New Roman" w:eastAsia="Times New Roman" w:hAnsi="Times New Roman" w:cs="Times New Roman"/>
              </w:rPr>
              <w:t>/</w:t>
            </w:r>
            <w:proofErr w:type="spellStart"/>
            <w:r>
              <w:rPr>
                <w:rFonts w:ascii="Times New Roman" w:eastAsia="Times New Roman" w:hAnsi="Times New Roman" w:cs="Times New Roman"/>
              </w:rPr>
              <w:t>п</w:t>
            </w:r>
            <w:proofErr w:type="spellEnd"/>
          </w:p>
        </w:tc>
        <w:tc>
          <w:tcPr>
            <w:tcW w:w="1953" w:type="dxa"/>
            <w:vMerge w:val="restart"/>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ind w:left="-142" w:right="-108"/>
              <w:jc w:val="center"/>
              <w:rPr>
                <w:rFonts w:ascii="Times New Roman" w:hAnsi="Times New Roman" w:cs="Times New Roman"/>
              </w:rPr>
            </w:pPr>
            <w:r>
              <w:rPr>
                <w:rFonts w:ascii="Times New Roman" w:eastAsia="Times New Roman" w:hAnsi="Times New Roman" w:cs="Times New Roman"/>
              </w:rPr>
              <w:t>Муниципальное образование</w:t>
            </w:r>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ind w:right="-108"/>
              <w:jc w:val="center"/>
              <w:rPr>
                <w:rFonts w:ascii="Times New Roman" w:hAnsi="Times New Roman" w:cs="Times New Roman"/>
              </w:rPr>
            </w:pPr>
            <w:r>
              <w:rPr>
                <w:rFonts w:ascii="Times New Roman" w:eastAsia="Times New Roman" w:hAnsi="Times New Roman" w:cs="Times New Roman"/>
              </w:rPr>
              <w:t>Пропилено льда, км</w:t>
            </w:r>
          </w:p>
        </w:tc>
        <w:tc>
          <w:tcPr>
            <w:tcW w:w="2699" w:type="dxa"/>
            <w:gridSpan w:val="3"/>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Зачернено льда, км</w:t>
            </w:r>
          </w:p>
        </w:tc>
        <w:tc>
          <w:tcPr>
            <w:tcW w:w="2829" w:type="dxa"/>
            <w:gridSpan w:val="3"/>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Кол-во взрывных работ</w:t>
            </w:r>
          </w:p>
        </w:tc>
      </w:tr>
      <w:tr w:rsidR="00B52DE3">
        <w:trPr>
          <w:jc w:val="center"/>
        </w:trPr>
        <w:tc>
          <w:tcPr>
            <w:tcW w:w="563" w:type="dxa"/>
            <w:vMerge/>
            <w:tcBorders>
              <w:top w:val="single" w:sz="4" w:space="0" w:color="000000"/>
              <w:left w:val="single" w:sz="4" w:space="0" w:color="000000"/>
              <w:bottom w:val="single" w:sz="4" w:space="0" w:color="000000"/>
              <w:right w:val="single" w:sz="4" w:space="0" w:color="000000"/>
            </w:tcBorders>
          </w:tcPr>
          <w:p w:rsidR="00B52DE3" w:rsidRDefault="00B52DE3">
            <w:pPr>
              <w:widowControl w:val="0"/>
              <w:spacing w:after="0" w:line="240" w:lineRule="auto"/>
              <w:jc w:val="center"/>
              <w:rPr>
                <w:rFonts w:ascii="Times New Roman" w:eastAsia="Times New Roman" w:hAnsi="Times New Roman" w:cs="Times New Roman"/>
              </w:rPr>
            </w:pPr>
          </w:p>
        </w:tc>
        <w:tc>
          <w:tcPr>
            <w:tcW w:w="1953" w:type="dxa"/>
            <w:vMerge/>
            <w:tcBorders>
              <w:top w:val="single" w:sz="4" w:space="0" w:color="000000"/>
              <w:left w:val="single" w:sz="4" w:space="0" w:color="000000"/>
              <w:bottom w:val="single" w:sz="4" w:space="0" w:color="000000"/>
              <w:right w:val="single" w:sz="4" w:space="0" w:color="000000"/>
            </w:tcBorders>
            <w:vAlign w:val="center"/>
          </w:tcPr>
          <w:p w:rsidR="00B52DE3" w:rsidRDefault="00B52DE3">
            <w:pPr>
              <w:widowControl w:val="0"/>
              <w:spacing w:after="0" w:line="240" w:lineRule="auto"/>
              <w:jc w:val="center"/>
              <w:rPr>
                <w:rFonts w:ascii="Times New Roman" w:eastAsia="Times New Roman" w:hAnsi="Times New Roman" w:cs="Times New Roman"/>
              </w:rPr>
            </w:pPr>
          </w:p>
        </w:tc>
        <w:tc>
          <w:tcPr>
            <w:tcW w:w="99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ind w:left="-47" w:right="-108"/>
              <w:jc w:val="center"/>
              <w:rPr>
                <w:rFonts w:ascii="Times New Roman" w:hAnsi="Times New Roman" w:cs="Times New Roman"/>
              </w:rPr>
            </w:pPr>
            <w:proofErr w:type="spellStart"/>
            <w:r>
              <w:rPr>
                <w:rFonts w:ascii="Times New Roman" w:eastAsia="Times New Roman" w:hAnsi="Times New Roman" w:cs="Times New Roman"/>
              </w:rPr>
              <w:t>Сплани-ровано</w:t>
            </w:r>
            <w:proofErr w:type="spellEnd"/>
          </w:p>
        </w:tc>
        <w:tc>
          <w:tcPr>
            <w:tcW w:w="99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proofErr w:type="spellStart"/>
            <w:r>
              <w:rPr>
                <w:rFonts w:ascii="Times New Roman" w:eastAsia="Times New Roman" w:hAnsi="Times New Roman" w:cs="Times New Roman"/>
              </w:rPr>
              <w:t>Прове-дено</w:t>
            </w:r>
            <w:proofErr w:type="spellEnd"/>
          </w:p>
        </w:tc>
        <w:tc>
          <w:tcPr>
            <w:tcW w:w="423"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w:t>
            </w:r>
          </w:p>
        </w:tc>
        <w:tc>
          <w:tcPr>
            <w:tcW w:w="107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ind w:left="-47" w:right="-108"/>
              <w:jc w:val="center"/>
              <w:rPr>
                <w:rFonts w:ascii="Times New Roman" w:hAnsi="Times New Roman" w:cs="Times New Roman"/>
              </w:rPr>
            </w:pPr>
            <w:proofErr w:type="spellStart"/>
            <w:r>
              <w:rPr>
                <w:rFonts w:ascii="Times New Roman" w:eastAsia="Times New Roman" w:hAnsi="Times New Roman" w:cs="Times New Roman"/>
              </w:rPr>
              <w:t>Сплани-ровано</w:t>
            </w:r>
            <w:proofErr w:type="spellEnd"/>
          </w:p>
        </w:tc>
        <w:tc>
          <w:tcPr>
            <w:tcW w:w="937"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ind w:left="-40" w:right="-90"/>
              <w:jc w:val="center"/>
              <w:rPr>
                <w:rFonts w:ascii="Times New Roman" w:hAnsi="Times New Roman" w:cs="Times New Roman"/>
              </w:rPr>
            </w:pPr>
            <w:proofErr w:type="spellStart"/>
            <w:r>
              <w:rPr>
                <w:rFonts w:ascii="Times New Roman" w:eastAsia="Times New Roman" w:hAnsi="Times New Roman" w:cs="Times New Roman"/>
              </w:rPr>
              <w:t>Прове-дено</w:t>
            </w:r>
            <w:proofErr w:type="spellEnd"/>
          </w:p>
        </w:tc>
        <w:tc>
          <w:tcPr>
            <w:tcW w:w="69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w:t>
            </w:r>
          </w:p>
        </w:tc>
        <w:tc>
          <w:tcPr>
            <w:tcW w:w="127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ind w:left="-47" w:right="-108"/>
              <w:jc w:val="center"/>
              <w:rPr>
                <w:rFonts w:ascii="Times New Roman" w:hAnsi="Times New Roman" w:cs="Times New Roman"/>
              </w:rPr>
            </w:pPr>
            <w:proofErr w:type="spellStart"/>
            <w:r>
              <w:rPr>
                <w:rFonts w:ascii="Times New Roman" w:eastAsia="Times New Roman" w:hAnsi="Times New Roman" w:cs="Times New Roman"/>
              </w:rPr>
              <w:t>Сплани-ровано</w:t>
            </w:r>
            <w:proofErr w:type="spellEnd"/>
          </w:p>
        </w:tc>
        <w:tc>
          <w:tcPr>
            <w:tcW w:w="99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proofErr w:type="spellStart"/>
            <w:r>
              <w:rPr>
                <w:rFonts w:ascii="Times New Roman" w:eastAsia="Times New Roman" w:hAnsi="Times New Roman" w:cs="Times New Roman"/>
              </w:rPr>
              <w:t>Прове-дено</w:t>
            </w:r>
            <w:proofErr w:type="spellEnd"/>
          </w:p>
        </w:tc>
        <w:tc>
          <w:tcPr>
            <w:tcW w:w="560"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w:t>
            </w:r>
          </w:p>
        </w:tc>
      </w:tr>
      <w:tr w:rsidR="00B52DE3">
        <w:trPr>
          <w:jc w:val="center"/>
        </w:trPr>
        <w:tc>
          <w:tcPr>
            <w:tcW w:w="563"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w:t>
            </w:r>
          </w:p>
        </w:tc>
        <w:tc>
          <w:tcPr>
            <w:tcW w:w="1953"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2</w:t>
            </w:r>
          </w:p>
        </w:tc>
        <w:tc>
          <w:tcPr>
            <w:tcW w:w="99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ind w:left="-47" w:right="-108"/>
              <w:jc w:val="center"/>
              <w:rPr>
                <w:rFonts w:ascii="Times New Roman" w:hAnsi="Times New Roman" w:cs="Times New Roman"/>
              </w:rPr>
            </w:pPr>
            <w:r>
              <w:rPr>
                <w:rFonts w:ascii="Times New Roman" w:eastAsia="Times New Roman" w:hAnsi="Times New Roman" w:cs="Times New Roman"/>
              </w:rPr>
              <w:t>3</w:t>
            </w:r>
          </w:p>
        </w:tc>
        <w:tc>
          <w:tcPr>
            <w:tcW w:w="99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4</w:t>
            </w:r>
          </w:p>
        </w:tc>
        <w:tc>
          <w:tcPr>
            <w:tcW w:w="423"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5</w:t>
            </w:r>
          </w:p>
        </w:tc>
        <w:tc>
          <w:tcPr>
            <w:tcW w:w="107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ind w:left="-47" w:right="-108"/>
              <w:jc w:val="center"/>
              <w:rPr>
                <w:rFonts w:ascii="Times New Roman" w:hAnsi="Times New Roman" w:cs="Times New Roman"/>
              </w:rPr>
            </w:pPr>
            <w:r>
              <w:rPr>
                <w:rFonts w:ascii="Times New Roman" w:eastAsia="Times New Roman" w:hAnsi="Times New Roman" w:cs="Times New Roman"/>
              </w:rPr>
              <w:t>6</w:t>
            </w:r>
          </w:p>
        </w:tc>
        <w:tc>
          <w:tcPr>
            <w:tcW w:w="937"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ind w:left="-40" w:right="-90"/>
              <w:jc w:val="center"/>
              <w:rPr>
                <w:rFonts w:ascii="Times New Roman" w:hAnsi="Times New Roman" w:cs="Times New Roman"/>
              </w:rPr>
            </w:pPr>
            <w:r>
              <w:rPr>
                <w:rFonts w:ascii="Times New Roman" w:eastAsia="Times New Roman" w:hAnsi="Times New Roman" w:cs="Times New Roman"/>
              </w:rPr>
              <w:t>7</w:t>
            </w:r>
          </w:p>
        </w:tc>
        <w:tc>
          <w:tcPr>
            <w:tcW w:w="69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8</w:t>
            </w:r>
          </w:p>
        </w:tc>
        <w:tc>
          <w:tcPr>
            <w:tcW w:w="127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ind w:left="-47" w:right="-108"/>
              <w:jc w:val="center"/>
              <w:rPr>
                <w:rFonts w:ascii="Times New Roman" w:hAnsi="Times New Roman" w:cs="Times New Roman"/>
              </w:rPr>
            </w:pPr>
            <w:r>
              <w:rPr>
                <w:rFonts w:ascii="Times New Roman" w:eastAsia="Times New Roman" w:hAnsi="Times New Roman" w:cs="Times New Roman"/>
              </w:rPr>
              <w:t>9</w:t>
            </w:r>
          </w:p>
        </w:tc>
        <w:tc>
          <w:tcPr>
            <w:tcW w:w="99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10</w:t>
            </w:r>
          </w:p>
        </w:tc>
        <w:tc>
          <w:tcPr>
            <w:tcW w:w="560"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11</w:t>
            </w:r>
          </w:p>
        </w:tc>
      </w:tr>
      <w:tr w:rsidR="00B52DE3">
        <w:trPr>
          <w:trHeight w:val="642"/>
          <w:jc w:val="center"/>
        </w:trPr>
        <w:tc>
          <w:tcPr>
            <w:tcW w:w="563"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c>
          <w:tcPr>
            <w:tcW w:w="1953"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Уссурийский городской округ</w:t>
            </w:r>
          </w:p>
        </w:tc>
        <w:tc>
          <w:tcPr>
            <w:tcW w:w="996"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99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423"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107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937"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69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1278"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991"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560"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r>
    </w:tbl>
    <w:p w:rsidR="00B52DE3" w:rsidRDefault="00B52DE3">
      <w:pPr>
        <w:widowControl w:val="0"/>
        <w:spacing w:after="0" w:line="240" w:lineRule="auto"/>
        <w:ind w:firstLine="720"/>
        <w:jc w:val="center"/>
        <w:rPr>
          <w:rFonts w:ascii="Times New Roman" w:hAnsi="Times New Roman" w:cs="Times New Roman"/>
          <w:b/>
          <w:bCs/>
          <w:sz w:val="28"/>
          <w:szCs w:val="28"/>
        </w:rPr>
      </w:pPr>
    </w:p>
    <w:p w:rsidR="00B52DE3" w:rsidRDefault="00B52DE3">
      <w:pPr>
        <w:widowControl w:val="0"/>
        <w:spacing w:after="0" w:line="240" w:lineRule="auto"/>
        <w:ind w:firstLine="720"/>
        <w:jc w:val="center"/>
        <w:rPr>
          <w:rFonts w:ascii="Times New Roman" w:hAnsi="Times New Roman" w:cs="Times New Roman"/>
          <w:b/>
          <w:bCs/>
          <w:sz w:val="24"/>
          <w:szCs w:val="24"/>
        </w:rPr>
      </w:pPr>
    </w:p>
    <w:p w:rsidR="00B52DE3" w:rsidRDefault="00DE73E3">
      <w:pPr>
        <w:widowControl w:val="0"/>
        <w:spacing w:after="0" w:line="240" w:lineRule="auto"/>
        <w:ind w:firstLine="720"/>
        <w:jc w:val="center"/>
        <w:rPr>
          <w:rFonts w:ascii="Times New Roman" w:hAnsi="Times New Roman" w:cs="Times New Roman"/>
        </w:rPr>
      </w:pPr>
      <w:r>
        <w:rPr>
          <w:rFonts w:ascii="Times New Roman" w:eastAsia="Times New Roman" w:hAnsi="Times New Roman" w:cs="Times New Roman"/>
          <w:b/>
          <w:bCs/>
          <w:sz w:val="28"/>
          <w:szCs w:val="28"/>
        </w:rPr>
        <w:t>Мероприятия по предупреждению природных пожаров</w:t>
      </w:r>
    </w:p>
    <w:p w:rsidR="00B52DE3" w:rsidRDefault="00B52DE3">
      <w:pPr>
        <w:widowControl w:val="0"/>
        <w:spacing w:after="0" w:line="240" w:lineRule="auto"/>
        <w:ind w:firstLine="720"/>
        <w:jc w:val="center"/>
        <w:rPr>
          <w:rFonts w:ascii="Times New Roman" w:hAnsi="Times New Roman" w:cs="Times New Roman"/>
          <w:b/>
          <w:sz w:val="24"/>
          <w:szCs w:val="24"/>
        </w:rPr>
      </w:pPr>
    </w:p>
    <w:p w:rsidR="00B52DE3" w:rsidRDefault="00DE73E3">
      <w:pPr>
        <w:widowControl w:val="0"/>
        <w:tabs>
          <w:tab w:val="left" w:pos="118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Вопросы промышленной безопасности и </w:t>
      </w:r>
      <w:proofErr w:type="spellStart"/>
      <w:r>
        <w:rPr>
          <w:rFonts w:ascii="Times New Roman" w:eastAsia="Times New Roman" w:hAnsi="Times New Roman" w:cs="Times New Roman"/>
          <w:sz w:val="28"/>
          <w:szCs w:val="28"/>
        </w:rPr>
        <w:t>пожаробезопасности</w:t>
      </w:r>
      <w:proofErr w:type="spellEnd"/>
      <w:r>
        <w:rPr>
          <w:rFonts w:ascii="Times New Roman" w:eastAsia="Times New Roman" w:hAnsi="Times New Roman" w:cs="Times New Roman"/>
          <w:sz w:val="28"/>
          <w:szCs w:val="28"/>
        </w:rPr>
        <w:t xml:space="preserve"> объектов рассматривались в 2025 году на заседаниях комиссии по предупреждению и ликвидации ЧС и обеспечению пожарной безопасности администрации Уссурийского городского округа с приглашением руководителей организаций.</w:t>
      </w:r>
    </w:p>
    <w:p w:rsidR="00B52DE3" w:rsidRDefault="00DE73E3">
      <w:pPr>
        <w:widowControl w:val="0"/>
        <w:tabs>
          <w:tab w:val="left" w:pos="118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На объектах имеются регламенты взаимодействия оперативного персонала и состава структурных подразделений при возникновении ЧС, инструкции обслуживающему персоналу по эксплуатации оборудования, </w:t>
      </w:r>
      <w:r>
        <w:rPr>
          <w:rFonts w:ascii="Times New Roman" w:eastAsia="Times New Roman" w:hAnsi="Times New Roman" w:cs="Times New Roman"/>
          <w:sz w:val="28"/>
          <w:szCs w:val="28"/>
        </w:rPr>
        <w:lastRenderedPageBreak/>
        <w:t xml:space="preserve">обязанности руководящего состава по локализации и ликвидации аварийной ситуации в цехах, порядок оповещения, ситуационные планы ликвидации аварий.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Администрация городского округа взаимодействует с территориальным отделом управления </w:t>
      </w:r>
      <w:proofErr w:type="spellStart"/>
      <w:r>
        <w:rPr>
          <w:rFonts w:ascii="Times New Roman" w:eastAsia="Times New Roman" w:hAnsi="Times New Roman" w:cs="Times New Roman"/>
          <w:sz w:val="28"/>
          <w:szCs w:val="28"/>
        </w:rPr>
        <w:t>Ростехнадзора</w:t>
      </w:r>
      <w:proofErr w:type="spellEnd"/>
      <w:r>
        <w:rPr>
          <w:rFonts w:ascii="Times New Roman" w:eastAsia="Times New Roman" w:hAnsi="Times New Roman" w:cs="Times New Roman"/>
          <w:sz w:val="28"/>
          <w:szCs w:val="28"/>
        </w:rPr>
        <w:t xml:space="preserve"> и отделом надзорной деятельности Уссурийского городского округа Управления надзорной деятельности Главного управления МЧС России по Приморскому краю по вопросам проверок на опасных объектах.</w:t>
      </w:r>
    </w:p>
    <w:p w:rsidR="00B52DE3" w:rsidRDefault="00DE73E3">
      <w:pPr>
        <w:widowControl w:val="0"/>
        <w:tabs>
          <w:tab w:val="left" w:pos="96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На всех потенциально опасных объектах имеются локальные системы оповещения, сопряженные с централизованной системой оповещения.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Работа комиссии по поддержанию устойчивого функционирования организаций Уссурийского городского округа организована в соответствии с постановлением администрации Уссурийского городского округа от 12 мая 2011 года № 1082-НПА.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Составлен план работы комиссии на 2026 год, включающий изучение состояния локальной системы оповещения, финансовых и материальных резервов, профилактических мероприятий на объектах, создание и оснащение нештатных аварийно-спасательных формирований для ликвидации ЧС на объектах.</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Реализация комплекса мер, направленных на снижение риска возникновения ЧС и снижение их негативных последствий, позволила                          в 2025 году работать объектам экономики без чрезвычайных ситуаций техногенного характера. </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widowControl w:val="0"/>
        <w:tabs>
          <w:tab w:val="left" w:pos="1230"/>
        </w:tabs>
        <w:spacing w:after="0" w:line="240" w:lineRule="auto"/>
        <w:jc w:val="center"/>
        <w:outlineLvl w:val="0"/>
        <w:rPr>
          <w:rFonts w:ascii="Times New Roman" w:hAnsi="Times New Roman" w:cs="Times New Roman"/>
          <w:sz w:val="28"/>
          <w:szCs w:val="28"/>
        </w:rPr>
      </w:pPr>
      <w:bookmarkStart w:id="146" w:name="_Toc134"/>
      <w:r>
        <w:rPr>
          <w:rFonts w:ascii="Times New Roman" w:eastAsia="Times New Roman" w:hAnsi="Times New Roman" w:cs="Times New Roman"/>
          <w:b/>
          <w:spacing w:val="-3"/>
          <w:sz w:val="28"/>
          <w:szCs w:val="28"/>
        </w:rPr>
        <w:t>Учения и тренировки, проводимые в 2025 году</w:t>
      </w:r>
      <w:bookmarkEnd w:id="146"/>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2025 году органы управления и силы Уссурийского городского звена РСЧС участвовали в двух общероссийских командно-штабных учениях, в двух штабных общероссийских тренировках по гражданской обороне под </w:t>
      </w:r>
      <w:r>
        <w:rPr>
          <w:rFonts w:ascii="Times New Roman" w:eastAsia="Times New Roman" w:hAnsi="Times New Roman" w:cs="Times New Roman"/>
          <w:sz w:val="28"/>
          <w:szCs w:val="28"/>
        </w:rPr>
        <w:lastRenderedPageBreak/>
        <w:t>руководством МЧС России.</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Учебными целями указанных мероприятий являлись: </w:t>
      </w:r>
    </w:p>
    <w:p w:rsidR="00B52DE3" w:rsidRDefault="00DE73E3">
      <w:pPr>
        <w:widowControl w:val="0"/>
        <w:tabs>
          <w:tab w:val="left" w:pos="274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отработка вопросов организации управления при выполнении мероприятий по приведению в готовность гражданской обороны (далее – ГО), а также в ходе ликвидации чрезвычайных ситуаций (далее – ЧС) природного и техногенного характера. </w:t>
      </w:r>
    </w:p>
    <w:p w:rsidR="00B52DE3" w:rsidRDefault="00DE73E3">
      <w:pPr>
        <w:widowControl w:val="0"/>
        <w:tabs>
          <w:tab w:val="left" w:pos="274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проверка реальности показателей Плана гражданской обороны и защиты населения УГО и Плана действий по предупреждению и ликвидации чрезвычайных ситуаций на территории УГО в ходе выполнения практических задач;</w:t>
      </w:r>
    </w:p>
    <w:p w:rsidR="00B52DE3" w:rsidRDefault="00DE73E3">
      <w:pPr>
        <w:widowControl w:val="0"/>
        <w:tabs>
          <w:tab w:val="left" w:pos="274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совершенствование навыков руководящего состава и структурных подразделений администраций УГО по предупреждению и ликвидации чрезвычайных ситуаций, выполнению мероприятий гражданской обороны;</w:t>
      </w:r>
    </w:p>
    <w:p w:rsidR="00B52DE3" w:rsidRDefault="00DE73E3">
      <w:pPr>
        <w:widowControl w:val="0"/>
        <w:tabs>
          <w:tab w:val="left" w:pos="274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достижение согласованности работы органов управления территориальных и функциональных органов управления и сил ГО и РСЧС при выполнении мероприятий в области ГО и защиты населения от ЧС;</w:t>
      </w:r>
    </w:p>
    <w:p w:rsidR="00B52DE3" w:rsidRDefault="00DE73E3">
      <w:pPr>
        <w:widowControl w:val="0"/>
        <w:tabs>
          <w:tab w:val="left" w:pos="2740"/>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закрепление знаний и навыков персонала организаций и жителей населенных пунктов по защите в условиях ЧС мирного и военного времени.</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Поставленные цели были достигнуты.</w:t>
      </w:r>
    </w:p>
    <w:p w:rsidR="00B52DE3" w:rsidRDefault="00B52DE3">
      <w:pPr>
        <w:widowControl w:val="0"/>
        <w:spacing w:after="0" w:line="240" w:lineRule="auto"/>
        <w:ind w:firstLine="1179"/>
        <w:jc w:val="center"/>
        <w:rPr>
          <w:rFonts w:ascii="Times New Roman" w:hAnsi="Times New Roman" w:cs="Times New Roman"/>
          <w:sz w:val="28"/>
          <w:szCs w:val="24"/>
        </w:rPr>
      </w:pPr>
    </w:p>
    <w:p w:rsidR="00B52DE3" w:rsidRDefault="00DE73E3">
      <w:pPr>
        <w:pStyle w:val="Heading1"/>
        <w:jc w:val="center"/>
        <w:rPr>
          <w:rFonts w:ascii="Times New Roman" w:hAnsi="Times New Roman" w:cs="Times New Roman"/>
          <w:color w:val="000000" w:themeColor="dark1"/>
        </w:rPr>
      </w:pPr>
      <w:bookmarkStart w:id="147" w:name="_Toc135"/>
      <w:r>
        <w:rPr>
          <w:rFonts w:ascii="Times New Roman" w:eastAsia="Times New Roman" w:hAnsi="Times New Roman" w:cs="Times New Roman"/>
          <w:color w:val="000000" w:themeColor="dark1"/>
        </w:rPr>
        <w:t>Планирование основных мероприятий в области защиты населения и территорий от чрезвычайных ситуаций, обеспечения пожарной безопасности и безопасности людей на водных объектах</w:t>
      </w:r>
      <w:bookmarkEnd w:id="147"/>
    </w:p>
    <w:p w:rsidR="00B52DE3" w:rsidRDefault="00B52DE3">
      <w:pPr>
        <w:widowControl w:val="0"/>
        <w:spacing w:after="0" w:line="240" w:lineRule="auto"/>
        <w:ind w:firstLine="1179"/>
        <w:jc w:val="both"/>
        <w:rPr>
          <w:rFonts w:ascii="Times New Roman" w:hAnsi="Times New Roman" w:cs="Times New Roman"/>
          <w:b/>
          <w:bCs/>
          <w:sz w:val="28"/>
          <w:szCs w:val="28"/>
        </w:rPr>
      </w:pPr>
    </w:p>
    <w:p w:rsidR="00B52DE3" w:rsidRDefault="00B52DE3">
      <w:pPr>
        <w:widowControl w:val="0"/>
        <w:spacing w:after="0" w:line="240" w:lineRule="auto"/>
        <w:ind w:firstLine="1179"/>
        <w:jc w:val="both"/>
        <w:rPr>
          <w:rFonts w:ascii="Times New Roman" w:hAnsi="Times New Roman" w:cs="Times New Roman"/>
          <w:b/>
          <w:bCs/>
          <w:sz w:val="28"/>
          <w:szCs w:val="28"/>
        </w:rPr>
      </w:pP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области защиты населения и территорий от чрезвычайных ситуаций, обеспечения пожарной безопасности и безопасности людей на водных объектах на 2026 год спланировано проведение следующих мероприятий:</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проведение заседаний КЧС и ОПБ, направленных на предупреждение и предотвращение травматизма и гибели людей на пожарах, предупреждение </w:t>
      </w:r>
      <w:r>
        <w:rPr>
          <w:rFonts w:ascii="Times New Roman" w:eastAsia="Times New Roman" w:hAnsi="Times New Roman" w:cs="Times New Roman"/>
          <w:sz w:val="28"/>
          <w:szCs w:val="28"/>
        </w:rPr>
        <w:lastRenderedPageBreak/>
        <w:t xml:space="preserve">чрезвычайных ситуаций на водоемах и запрещении выхода на лед, предупреждение чрезвычайных ситуаций в местах отдыха населения на водных объектах, безопасности объектов летнего отдыха детей и подростков, безопасности людей в </w:t>
      </w:r>
      <w:proofErr w:type="spellStart"/>
      <w:r>
        <w:rPr>
          <w:rFonts w:ascii="Times New Roman" w:eastAsia="Times New Roman" w:hAnsi="Times New Roman" w:cs="Times New Roman"/>
          <w:sz w:val="28"/>
          <w:szCs w:val="28"/>
        </w:rPr>
        <w:t>паводкоопасный</w:t>
      </w:r>
      <w:proofErr w:type="spellEnd"/>
      <w:r>
        <w:rPr>
          <w:rFonts w:ascii="Times New Roman" w:eastAsia="Times New Roman" w:hAnsi="Times New Roman" w:cs="Times New Roman"/>
          <w:sz w:val="28"/>
          <w:szCs w:val="28"/>
        </w:rPr>
        <w:t xml:space="preserve"> период;</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проведение проверок оборудования и соответствия санитарным нормам пляжей и мест оздоровительного отдыха детей и подростков;</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проведение месячника безопасности на водных объектах в летний период;</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выступления в средствах массовой информации, распространение памяток по вопросам защиты населения и территорий от ЧС природного и техногенного характера;</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сбор и обмен информацией с руководителями учреждений по вопросам обеспечения пожарной безопасности социально значимых объектов (образования, здравоохранения, социальной защиты), в том числе мест отдыха детей и подростков в летний оздоровительный период;</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проверка противопожарного водоснабжения на территории Уссурийского городского округа;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участие в общероссийской тренировке по гражданской обороне, тренировках под руководством КЧС и ОПБ Приморского края по защите населения от ЧС, вызванных паводками, природными пожарами;</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проведение штабной тренировки по гражданской обороне под руководством главы Уссурийского городского округа;</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подготовка должностных лиц и специалистов РСЧС на курсах гражданской обороны, направление на обучение в УМЦ Приморского края, согласно плану комплектования;</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подготовка работающего населения на предприятиях и в организациях методом проведения теоретических занятий и совершенствования практических навыков в ходе проведения учений и тренировок;</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подготовка неработающего населения на учебно-консультационных </w:t>
      </w:r>
      <w:r>
        <w:rPr>
          <w:rFonts w:ascii="Times New Roman" w:eastAsia="Times New Roman" w:hAnsi="Times New Roman" w:cs="Times New Roman"/>
          <w:sz w:val="28"/>
          <w:szCs w:val="28"/>
        </w:rPr>
        <w:lastRenderedPageBreak/>
        <w:t>пунктах (далее – УКП) Уссурийского городского округа;</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участие в краевом слете – соревновании «Школа безопасности»;</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проведение смотров-конкурсов на лучшую учебно-материальную базу, на лучший УКП;</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восполнение местных резервов материальных ресурсов для ликвидации ЧС и запасов материальных средств ГО.</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widowControl w:val="0"/>
        <w:spacing w:after="0" w:line="240" w:lineRule="auto"/>
        <w:ind w:firstLine="1179"/>
        <w:jc w:val="center"/>
        <w:rPr>
          <w:rFonts w:ascii="Times New Roman" w:hAnsi="Times New Roman" w:cs="Times New Roman"/>
          <w:sz w:val="28"/>
          <w:szCs w:val="28"/>
        </w:rPr>
      </w:pPr>
      <w:r>
        <w:rPr>
          <w:rFonts w:ascii="Times New Roman" w:eastAsia="Times New Roman" w:hAnsi="Times New Roman" w:cs="Times New Roman"/>
          <w:b/>
          <w:bCs/>
          <w:sz w:val="28"/>
          <w:szCs w:val="28"/>
        </w:rPr>
        <w:t>Мероприятия по смягчению последствий чрезвычайных ситуаций</w:t>
      </w:r>
    </w:p>
    <w:p w:rsidR="00B52DE3" w:rsidRDefault="00B52DE3">
      <w:pPr>
        <w:widowControl w:val="0"/>
        <w:spacing w:after="0" w:line="240" w:lineRule="auto"/>
        <w:ind w:firstLine="1179"/>
        <w:jc w:val="center"/>
        <w:rPr>
          <w:rFonts w:ascii="Times New Roman" w:hAnsi="Times New Roman" w:cs="Times New Roman"/>
          <w:b/>
          <w:bCs/>
          <w:sz w:val="28"/>
          <w:szCs w:val="28"/>
        </w:rPr>
      </w:pP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По состоянию на 31декабря 2025 года проведено 183 тренировки, в которых были задействованы 38538 человек. План проведения учений и тренировок выполнен в полном объеме.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целях повышения оперативности реагирования на возникающие ЧС установлены прямые каналы связи между ЕДДС и службами экстренного реагирования, диспетчерскими службами потенциально опасных объектов, предприятиями жизнеобеспечения и органами военного управления.</w:t>
      </w:r>
    </w:p>
    <w:p w:rsidR="00B52DE3" w:rsidRDefault="00B52DE3">
      <w:pPr>
        <w:widowControl w:val="0"/>
        <w:spacing w:after="0" w:line="240" w:lineRule="auto"/>
        <w:ind w:firstLine="709"/>
        <w:jc w:val="center"/>
        <w:rPr>
          <w:rFonts w:ascii="Times New Roman" w:hAnsi="Times New Roman" w:cs="Times New Roman"/>
          <w:b/>
          <w:sz w:val="24"/>
          <w:szCs w:val="24"/>
        </w:rPr>
      </w:pPr>
    </w:p>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b/>
          <w:bCs/>
          <w:sz w:val="28"/>
          <w:szCs w:val="28"/>
        </w:rPr>
        <w:t xml:space="preserve">Наличие прямых каналов связи ЕДДС с оперативными </w:t>
      </w:r>
    </w:p>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b/>
          <w:bCs/>
          <w:sz w:val="28"/>
          <w:szCs w:val="28"/>
        </w:rPr>
        <w:t>и диспетчерскими службами учреждений и организаций</w:t>
      </w:r>
    </w:p>
    <w:p w:rsidR="00B52DE3" w:rsidRDefault="00B52DE3">
      <w:pPr>
        <w:widowControl w:val="0"/>
        <w:spacing w:after="0" w:line="240" w:lineRule="auto"/>
        <w:ind w:firstLine="709"/>
        <w:jc w:val="center"/>
        <w:rPr>
          <w:rFonts w:ascii="Times New Roman" w:hAnsi="Times New Roman" w:cs="Times New Roman"/>
          <w:b/>
          <w:sz w:val="24"/>
          <w:szCs w:val="24"/>
        </w:rPr>
      </w:pPr>
    </w:p>
    <w:tbl>
      <w:tblPr>
        <w:tblW w:w="9571" w:type="dxa"/>
        <w:tblInd w:w="-113" w:type="dxa"/>
        <w:tblLayout w:type="fixed"/>
        <w:tblLook w:val="04A0"/>
      </w:tblPr>
      <w:tblGrid>
        <w:gridCol w:w="534"/>
        <w:gridCol w:w="5846"/>
        <w:gridCol w:w="3191"/>
      </w:tblGrid>
      <w:tr w:rsidR="00B52DE3">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w:t>
            </w:r>
          </w:p>
          <w:p w:rsidR="00B52DE3" w:rsidRDefault="00DE73E3">
            <w:pPr>
              <w:widowControl w:val="0"/>
              <w:spacing w:after="0" w:line="240" w:lineRule="auto"/>
              <w:jc w:val="center"/>
              <w:rPr>
                <w:rFonts w:ascii="Times New Roman" w:hAnsi="Times New Roman" w:cs="Times New Roman"/>
              </w:rPr>
            </w:pPr>
            <w:proofErr w:type="spellStart"/>
            <w:r>
              <w:rPr>
                <w:rFonts w:ascii="Times New Roman" w:eastAsia="Times New Roman" w:hAnsi="Times New Roman" w:cs="Times New Roman"/>
              </w:rPr>
              <w:t>п</w:t>
            </w:r>
            <w:proofErr w:type="spellEnd"/>
            <w:r>
              <w:rPr>
                <w:rFonts w:ascii="Times New Roman" w:eastAsia="Times New Roman" w:hAnsi="Times New Roman" w:cs="Times New Roman"/>
              </w:rPr>
              <w:t>/</w:t>
            </w:r>
            <w:proofErr w:type="spellStart"/>
            <w:r>
              <w:rPr>
                <w:rFonts w:ascii="Times New Roman" w:eastAsia="Times New Roman" w:hAnsi="Times New Roman" w:cs="Times New Roman"/>
              </w:rPr>
              <w:t>п</w:t>
            </w:r>
            <w:proofErr w:type="spellEnd"/>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Организации</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каналов</w:t>
            </w:r>
          </w:p>
        </w:tc>
      </w:tr>
      <w:tr w:rsidR="00B52DE3">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w:t>
            </w:r>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2</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3</w:t>
            </w:r>
          </w:p>
        </w:tc>
      </w:tr>
      <w:tr w:rsidR="00B52DE3">
        <w:trPr>
          <w:trHeight w:val="112"/>
        </w:trPr>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7 отряд федеральной противопожарной службы</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r>
      <w:tr w:rsidR="00B52DE3">
        <w:trPr>
          <w:trHeight w:val="229"/>
        </w:trPr>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2</w:t>
            </w:r>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55"/>
                <w:tab w:val="right" w:pos="4303"/>
              </w:tabs>
              <w:spacing w:after="0" w:line="240" w:lineRule="auto"/>
              <w:rPr>
                <w:rFonts w:ascii="Times New Roman" w:hAnsi="Times New Roman" w:cs="Times New Roman"/>
              </w:rPr>
            </w:pPr>
            <w:r>
              <w:rPr>
                <w:rFonts w:ascii="Times New Roman" w:eastAsia="Times New Roman" w:hAnsi="Times New Roman" w:cs="Times New Roman"/>
                <w:sz w:val="20"/>
                <w:szCs w:val="20"/>
              </w:rPr>
              <w:t>Отдел МВД России  по г. Уссурийску</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r>
      <w:tr w:rsidR="00B52DE3">
        <w:trPr>
          <w:trHeight w:val="70"/>
        </w:trPr>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3</w:t>
            </w:r>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Станция скорой медицинской помощи</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4</w:t>
            </w:r>
          </w:p>
        </w:tc>
      </w:tr>
      <w:tr w:rsidR="00B52DE3">
        <w:trPr>
          <w:trHeight w:val="131"/>
        </w:trPr>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4</w:t>
            </w:r>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bCs/>
                <w:sz w:val="20"/>
                <w:szCs w:val="20"/>
              </w:rPr>
              <w:t>Отдел УФСБ в г. Уссурийске</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r>
      <w:tr w:rsidR="00B52DE3">
        <w:trPr>
          <w:trHeight w:val="177"/>
        </w:trPr>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5</w:t>
            </w:r>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Управление жизнеобеспечения администрации УГО</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r>
      <w:tr w:rsidR="00B52DE3">
        <w:trPr>
          <w:trHeight w:val="143"/>
        </w:trPr>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6</w:t>
            </w:r>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Муниципальное унитарное предприятие «Уссурийск-Водоканал»</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r>
      <w:tr w:rsidR="00B52DE3">
        <w:trPr>
          <w:trHeight w:val="248"/>
        </w:trPr>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7</w:t>
            </w:r>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АО «Уссурийск-Электросеть»</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r>
      <w:tr w:rsidR="00B52DE3">
        <w:trPr>
          <w:trHeight w:val="254"/>
        </w:trPr>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8</w:t>
            </w:r>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АО «Уссурийское предприятие тепловых сетей»</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r>
      <w:tr w:rsidR="00B52DE3">
        <w:trPr>
          <w:trHeight w:val="259"/>
        </w:trPr>
        <w:tc>
          <w:tcPr>
            <w:tcW w:w="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9</w:t>
            </w:r>
          </w:p>
        </w:tc>
        <w:tc>
          <w:tcPr>
            <w:tcW w:w="5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Узел связи органов военного командования</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r>
      <w:tr w:rsidR="00B52DE3">
        <w:trPr>
          <w:trHeight w:val="278"/>
        </w:trPr>
        <w:tc>
          <w:tcPr>
            <w:tcW w:w="63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Итого</w:t>
            </w:r>
          </w:p>
        </w:tc>
        <w:tc>
          <w:tcPr>
            <w:tcW w:w="31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sidRPr="00E93692">
              <w:rPr>
                <w:rFonts w:ascii="Times New Roman" w:eastAsia="Times New Roman" w:hAnsi="Times New Roman" w:cs="Times New Roman"/>
                <w:sz w:val="20"/>
                <w:szCs w:val="20"/>
              </w:rPr>
              <w:t>1</w:t>
            </w:r>
            <w:r w:rsidR="00E93692" w:rsidRPr="00E93692">
              <w:rPr>
                <w:rFonts w:ascii="Times New Roman" w:eastAsia="Times New Roman" w:hAnsi="Times New Roman" w:cs="Times New Roman"/>
                <w:sz w:val="20"/>
                <w:szCs w:val="20"/>
              </w:rPr>
              <w:t>2</w:t>
            </w:r>
          </w:p>
        </w:tc>
      </w:tr>
    </w:tbl>
    <w:p w:rsidR="00B52DE3" w:rsidRDefault="00B52DE3">
      <w:pPr>
        <w:widowControl w:val="0"/>
        <w:spacing w:after="0" w:line="240" w:lineRule="auto"/>
        <w:ind w:firstLine="720"/>
        <w:rPr>
          <w:rFonts w:ascii="Times New Roman" w:hAnsi="Times New Roman" w:cs="Times New Roman"/>
          <w:i/>
          <w:sz w:val="24"/>
          <w:szCs w:val="24"/>
        </w:rPr>
      </w:pPr>
    </w:p>
    <w:p w:rsidR="00B52DE3" w:rsidRDefault="00DE73E3">
      <w:pPr>
        <w:widowControl w:val="0"/>
        <w:spacing w:after="0" w:line="240" w:lineRule="auto"/>
        <w:ind w:firstLine="720"/>
        <w:jc w:val="center"/>
        <w:rPr>
          <w:rFonts w:ascii="Times New Roman" w:hAnsi="Times New Roman" w:cs="Times New Roman"/>
        </w:rPr>
      </w:pPr>
      <w:r>
        <w:rPr>
          <w:rFonts w:ascii="Times New Roman" w:eastAsia="Times New Roman" w:hAnsi="Times New Roman" w:cs="Times New Roman"/>
          <w:b/>
          <w:bCs/>
          <w:sz w:val="28"/>
          <w:szCs w:val="28"/>
        </w:rPr>
        <w:t>Сведения о деятельности Уссурийского городского звена Приморской краевой подсистемы РСЧС в 2024 году</w:t>
      </w:r>
    </w:p>
    <w:p w:rsidR="00B52DE3" w:rsidRDefault="00B52DE3">
      <w:pPr>
        <w:widowControl w:val="0"/>
        <w:spacing w:after="0" w:line="240" w:lineRule="auto"/>
        <w:ind w:firstLine="720"/>
        <w:jc w:val="center"/>
        <w:rPr>
          <w:rFonts w:ascii="Times New Roman" w:hAnsi="Times New Roman" w:cs="Times New Roman"/>
          <w:b/>
          <w:bCs/>
          <w:sz w:val="24"/>
          <w:szCs w:val="24"/>
        </w:rPr>
      </w:pPr>
    </w:p>
    <w:tbl>
      <w:tblPr>
        <w:tblW w:w="9855" w:type="dxa"/>
        <w:tblInd w:w="-113" w:type="dxa"/>
        <w:tblLayout w:type="fixed"/>
        <w:tblLook w:val="04A0"/>
      </w:tblPr>
      <w:tblGrid>
        <w:gridCol w:w="607"/>
        <w:gridCol w:w="1770"/>
        <w:gridCol w:w="1837"/>
        <w:gridCol w:w="715"/>
        <w:gridCol w:w="567"/>
        <w:gridCol w:w="707"/>
        <w:gridCol w:w="569"/>
        <w:gridCol w:w="1855"/>
        <w:gridCol w:w="694"/>
        <w:gridCol w:w="534"/>
      </w:tblGrid>
      <w:tr w:rsidR="00B52DE3">
        <w:trPr>
          <w:cantSplit/>
          <w:trHeight w:val="597"/>
        </w:trPr>
        <w:tc>
          <w:tcPr>
            <w:tcW w:w="60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lastRenderedPageBreak/>
              <w:t xml:space="preserve">№ </w:t>
            </w:r>
            <w:proofErr w:type="spellStart"/>
            <w:r>
              <w:rPr>
                <w:rFonts w:ascii="Times New Roman" w:eastAsia="Times New Roman" w:hAnsi="Times New Roman" w:cs="Times New Roman"/>
              </w:rPr>
              <w:t>п</w:t>
            </w:r>
            <w:proofErr w:type="spellEnd"/>
            <w:r>
              <w:rPr>
                <w:rFonts w:ascii="Times New Roman" w:eastAsia="Times New Roman" w:hAnsi="Times New Roman" w:cs="Times New Roman"/>
              </w:rPr>
              <w:t>/</w:t>
            </w:r>
            <w:proofErr w:type="spellStart"/>
            <w:r>
              <w:rPr>
                <w:rFonts w:ascii="Times New Roman" w:eastAsia="Times New Roman" w:hAnsi="Times New Roman" w:cs="Times New Roman"/>
              </w:rPr>
              <w:t>п</w:t>
            </w:r>
            <w:proofErr w:type="spellEnd"/>
          </w:p>
        </w:tc>
        <w:tc>
          <w:tcPr>
            <w:tcW w:w="177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Наименование ТП РСЧС</w:t>
            </w:r>
          </w:p>
        </w:tc>
        <w:tc>
          <w:tcPr>
            <w:tcW w:w="183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 xml:space="preserve">НПА </w:t>
            </w:r>
            <w:r>
              <w:rPr>
                <w:rFonts w:ascii="Times New Roman" w:eastAsia="Times New Roman" w:hAnsi="Times New Roman" w:cs="Times New Roman"/>
              </w:rPr>
              <w:br/>
              <w:t>о создании</w:t>
            </w:r>
          </w:p>
        </w:tc>
        <w:tc>
          <w:tcPr>
            <w:tcW w:w="2558" w:type="dxa"/>
            <w:gridSpan w:val="4"/>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Состав сил и средств</w:t>
            </w:r>
          </w:p>
        </w:tc>
        <w:tc>
          <w:tcPr>
            <w:tcW w:w="1855" w:type="dxa"/>
            <w:vMerge w:val="restart"/>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Наименование ЧС (дата, классификация)</w:t>
            </w:r>
          </w:p>
        </w:tc>
        <w:tc>
          <w:tcPr>
            <w:tcW w:w="1228" w:type="dxa"/>
            <w:gridSpan w:val="2"/>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Привлекаемые силы и средства</w:t>
            </w:r>
          </w:p>
        </w:tc>
      </w:tr>
      <w:tr w:rsidR="00B52DE3">
        <w:trPr>
          <w:cantSplit/>
          <w:trHeight w:val="1513"/>
        </w:trPr>
        <w:tc>
          <w:tcPr>
            <w:tcW w:w="606"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770"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837"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282" w:type="dxa"/>
            <w:gridSpan w:val="2"/>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Общее количество сил и средств</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Постоянной готовности</w:t>
            </w:r>
          </w:p>
        </w:tc>
        <w:tc>
          <w:tcPr>
            <w:tcW w:w="1855"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694" w:type="dxa"/>
            <w:vMerge w:val="restart"/>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Личный состав</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техника</w:t>
            </w:r>
          </w:p>
        </w:tc>
      </w:tr>
      <w:tr w:rsidR="00B52DE3">
        <w:trPr>
          <w:cantSplit/>
          <w:trHeight w:val="886"/>
        </w:trPr>
        <w:tc>
          <w:tcPr>
            <w:tcW w:w="606"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770"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837"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715"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Личный состав</w:t>
            </w:r>
          </w:p>
        </w:tc>
        <w:tc>
          <w:tcPr>
            <w:tcW w:w="567"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техника</w:t>
            </w:r>
          </w:p>
        </w:tc>
        <w:tc>
          <w:tcPr>
            <w:tcW w:w="707"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Личный состав</w:t>
            </w:r>
          </w:p>
        </w:tc>
        <w:tc>
          <w:tcPr>
            <w:tcW w:w="569"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rPr>
              <w:t>техника</w:t>
            </w:r>
          </w:p>
        </w:tc>
        <w:tc>
          <w:tcPr>
            <w:tcW w:w="1855"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694"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534"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r>
      <w:tr w:rsidR="00B52DE3">
        <w:trPr>
          <w:cantSplit/>
          <w:trHeight w:val="271"/>
        </w:trPr>
        <w:tc>
          <w:tcPr>
            <w:tcW w:w="60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w:t>
            </w:r>
          </w:p>
        </w:tc>
        <w:tc>
          <w:tcPr>
            <w:tcW w:w="177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2</w:t>
            </w:r>
          </w:p>
        </w:tc>
        <w:tc>
          <w:tcPr>
            <w:tcW w:w="183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3</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4</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5</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6</w:t>
            </w:r>
          </w:p>
        </w:tc>
        <w:tc>
          <w:tcPr>
            <w:tcW w:w="56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7</w:t>
            </w:r>
          </w:p>
        </w:tc>
        <w:tc>
          <w:tcPr>
            <w:tcW w:w="185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8</w:t>
            </w:r>
          </w:p>
        </w:tc>
        <w:tc>
          <w:tcPr>
            <w:tcW w:w="69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9</w:t>
            </w:r>
          </w:p>
        </w:tc>
        <w:tc>
          <w:tcPr>
            <w:tcW w:w="5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10</w:t>
            </w:r>
          </w:p>
        </w:tc>
      </w:tr>
      <w:tr w:rsidR="00B52DE3">
        <w:trPr>
          <w:trHeight w:val="1395"/>
        </w:trPr>
        <w:tc>
          <w:tcPr>
            <w:tcW w:w="60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1.</w:t>
            </w:r>
          </w:p>
        </w:tc>
        <w:tc>
          <w:tcPr>
            <w:tcW w:w="177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Уссурийское городское звено РСЧС</w:t>
            </w:r>
          </w:p>
        </w:tc>
        <w:tc>
          <w:tcPr>
            <w:tcW w:w="183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 xml:space="preserve">Постановление администрации Уссурийского городского округа от 05.03.2010 г. </w:t>
            </w:r>
            <w:r>
              <w:rPr>
                <w:rFonts w:ascii="Times New Roman" w:eastAsia="Times New Roman" w:hAnsi="Times New Roman" w:cs="Times New Roman"/>
                <w:sz w:val="20"/>
                <w:szCs w:val="20"/>
              </w:rPr>
              <w:br/>
              <w:t>№ 204</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271</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70</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154</w:t>
            </w:r>
          </w:p>
        </w:tc>
        <w:tc>
          <w:tcPr>
            <w:tcW w:w="56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52</w:t>
            </w:r>
          </w:p>
        </w:tc>
        <w:tc>
          <w:tcPr>
            <w:tcW w:w="185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 xml:space="preserve">               -</w:t>
            </w:r>
          </w:p>
        </w:tc>
        <w:tc>
          <w:tcPr>
            <w:tcW w:w="69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 xml:space="preserve">     -</w:t>
            </w:r>
          </w:p>
        </w:tc>
        <w:tc>
          <w:tcPr>
            <w:tcW w:w="5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0"/>
                <w:szCs w:val="20"/>
              </w:rPr>
              <w:t xml:space="preserve">    -</w:t>
            </w:r>
          </w:p>
        </w:tc>
      </w:tr>
    </w:tbl>
    <w:p w:rsidR="00B52DE3" w:rsidRDefault="00B52DE3">
      <w:pPr>
        <w:widowControl w:val="0"/>
        <w:spacing w:after="0" w:line="360" w:lineRule="auto"/>
        <w:outlineLvl w:val="0"/>
        <w:rPr>
          <w:rFonts w:ascii="Times New Roman" w:hAnsi="Times New Roman" w:cs="Times New Roman"/>
          <w:b/>
          <w:bCs/>
          <w:spacing w:val="-3"/>
          <w:sz w:val="28"/>
          <w:szCs w:val="28"/>
        </w:rPr>
      </w:pPr>
    </w:p>
    <w:p w:rsidR="00B52DE3" w:rsidRDefault="00DE73E3">
      <w:pPr>
        <w:widowControl w:val="0"/>
        <w:spacing w:after="0" w:line="240" w:lineRule="auto"/>
        <w:ind w:firstLine="709"/>
        <w:jc w:val="center"/>
        <w:outlineLvl w:val="0"/>
        <w:rPr>
          <w:rFonts w:ascii="Times New Roman" w:eastAsia="Times New Roman" w:hAnsi="Times New Roman" w:cs="Times New Roman"/>
          <w:b/>
          <w:spacing w:val="-3"/>
          <w:sz w:val="28"/>
          <w:szCs w:val="28"/>
        </w:rPr>
      </w:pPr>
      <w:bookmarkStart w:id="148" w:name="_Toc136"/>
      <w:r>
        <w:rPr>
          <w:rFonts w:ascii="Times New Roman" w:eastAsia="Times New Roman" w:hAnsi="Times New Roman" w:cs="Times New Roman"/>
          <w:b/>
          <w:spacing w:val="-3"/>
          <w:sz w:val="28"/>
          <w:szCs w:val="28"/>
        </w:rPr>
        <w:t>Участие Уссурийского городского звена РСЧС в ликвидации чрезвычайных ситуаций</w:t>
      </w:r>
      <w:bookmarkEnd w:id="148"/>
    </w:p>
    <w:p w:rsidR="00B742ED" w:rsidRDefault="00B742ED">
      <w:pPr>
        <w:widowControl w:val="0"/>
        <w:spacing w:after="0" w:line="240" w:lineRule="auto"/>
        <w:ind w:firstLine="709"/>
        <w:jc w:val="center"/>
        <w:outlineLvl w:val="0"/>
        <w:rPr>
          <w:rFonts w:ascii="Times New Roman" w:hAnsi="Times New Roman" w:cs="Times New Roman"/>
          <w:sz w:val="28"/>
          <w:szCs w:val="28"/>
        </w:rPr>
      </w:pPr>
    </w:p>
    <w:p w:rsidR="00B52DE3" w:rsidRDefault="00DE73E3">
      <w:pPr>
        <w:widowControl w:val="0"/>
        <w:shd w:val="clear" w:color="auto" w:fill="FFFFFF"/>
        <w:tabs>
          <w:tab w:val="left" w:pos="709"/>
        </w:tabs>
        <w:spacing w:after="0" w:line="360" w:lineRule="auto"/>
        <w:ind w:firstLine="709"/>
        <w:jc w:val="both"/>
        <w:outlineLvl w:val="0"/>
        <w:rPr>
          <w:rFonts w:ascii="Times New Roman" w:hAnsi="Times New Roman" w:cs="Times New Roman"/>
          <w:sz w:val="28"/>
          <w:szCs w:val="28"/>
        </w:rPr>
      </w:pPr>
      <w:bookmarkStart w:id="149" w:name="_Toc137"/>
      <w:r>
        <w:rPr>
          <w:rFonts w:ascii="Times New Roman" w:eastAsia="Times New Roman" w:hAnsi="Times New Roman" w:cs="Times New Roman"/>
          <w:bCs/>
          <w:spacing w:val="-3"/>
          <w:sz w:val="28"/>
          <w:szCs w:val="28"/>
        </w:rPr>
        <w:t xml:space="preserve">Участие Уссурийского городского звена РСЧС в предупреждении и ликвидации ЧС регламентируется: постановлением администрации Уссурийского городского округа от 05 марта 2010 года № 204 </w:t>
      </w:r>
      <w:r>
        <w:rPr>
          <w:rFonts w:ascii="Times New Roman" w:eastAsia="Times New Roman" w:hAnsi="Times New Roman" w:cs="Times New Roman"/>
          <w:bCs/>
          <w:spacing w:val="-3"/>
          <w:sz w:val="28"/>
          <w:szCs w:val="28"/>
        </w:rPr>
        <w:br/>
        <w:t xml:space="preserve">«Об утверждении состава сил и средств Уссурийского городского звена Приморской территориальной подсистемы единой государственной системы предупреждения и ликвидации ЧС для оперативного реагирования на ЧС и проведения работ по их ликвидации»; </w:t>
      </w:r>
      <w:bookmarkEnd w:id="149"/>
    </w:p>
    <w:p w:rsidR="00B52DE3" w:rsidRDefault="00DE73E3">
      <w:pPr>
        <w:widowControl w:val="0"/>
        <w:spacing w:after="0" w:line="360" w:lineRule="auto"/>
        <w:ind w:firstLine="709"/>
        <w:jc w:val="both"/>
        <w:outlineLvl w:val="0"/>
        <w:rPr>
          <w:rFonts w:ascii="Times New Roman" w:hAnsi="Times New Roman" w:cs="Times New Roman"/>
          <w:sz w:val="28"/>
          <w:szCs w:val="28"/>
        </w:rPr>
      </w:pPr>
      <w:bookmarkStart w:id="150" w:name="_Toc138"/>
      <w:r>
        <w:rPr>
          <w:rFonts w:ascii="Times New Roman" w:eastAsia="Times New Roman" w:hAnsi="Times New Roman" w:cs="Times New Roman"/>
          <w:bCs/>
          <w:spacing w:val="-3"/>
          <w:sz w:val="28"/>
          <w:szCs w:val="28"/>
        </w:rPr>
        <w:t>постановлением главы Уссурийского городского округа от 28 марта 2006 года № 372 «Об утверждении положения об Уссурийском городском звене</w:t>
      </w:r>
      <w:r>
        <w:rPr>
          <w:rFonts w:ascii="Times New Roman" w:eastAsia="Times New Roman" w:hAnsi="Times New Roman" w:cs="Times New Roman"/>
          <w:b/>
          <w:bCs/>
          <w:spacing w:val="-3"/>
          <w:sz w:val="28"/>
          <w:szCs w:val="28"/>
        </w:rPr>
        <w:t xml:space="preserve"> </w:t>
      </w:r>
      <w:r>
        <w:rPr>
          <w:rFonts w:ascii="Times New Roman" w:eastAsia="Times New Roman" w:hAnsi="Times New Roman" w:cs="Times New Roman"/>
          <w:bCs/>
          <w:spacing w:val="-3"/>
          <w:sz w:val="28"/>
          <w:szCs w:val="28"/>
        </w:rPr>
        <w:t>Приморской территориальной подсистемы единой государственной системы предупреждения и ликвидации чрезвычайных ситуаций»;</w:t>
      </w:r>
      <w:bookmarkEnd w:id="150"/>
    </w:p>
    <w:p w:rsidR="00B52DE3" w:rsidRDefault="00DE73E3">
      <w:pPr>
        <w:widowControl w:val="0"/>
        <w:spacing w:after="0" w:line="360" w:lineRule="auto"/>
        <w:ind w:firstLine="709"/>
        <w:jc w:val="both"/>
        <w:outlineLvl w:val="0"/>
        <w:rPr>
          <w:rFonts w:ascii="Times New Roman" w:hAnsi="Times New Roman" w:cs="Times New Roman"/>
          <w:sz w:val="28"/>
          <w:szCs w:val="28"/>
        </w:rPr>
      </w:pPr>
      <w:bookmarkStart w:id="151" w:name="_Toc139"/>
      <w:r>
        <w:rPr>
          <w:rFonts w:ascii="Times New Roman" w:eastAsia="Times New Roman" w:hAnsi="Times New Roman" w:cs="Times New Roman"/>
          <w:bCs/>
          <w:spacing w:val="-3"/>
          <w:sz w:val="28"/>
          <w:szCs w:val="28"/>
        </w:rPr>
        <w:t xml:space="preserve">постановлением администрации Уссурийского городского округа                         от 19 июля 2018 года № 1721 «О создании оперативного штаба ликвидации чрезвычайных ситуаций на территории Уссурийского городского округа, утверждении Положения о руководителе ликвидации чрезвычайной ситуации и об оперативном штабе ликвидации чрезвычайных ситуаций на территории </w:t>
      </w:r>
      <w:r>
        <w:rPr>
          <w:rFonts w:ascii="Times New Roman" w:eastAsia="Times New Roman" w:hAnsi="Times New Roman" w:cs="Times New Roman"/>
          <w:bCs/>
          <w:spacing w:val="-3"/>
          <w:sz w:val="28"/>
          <w:szCs w:val="28"/>
        </w:rPr>
        <w:lastRenderedPageBreak/>
        <w:t>Уссурийского городского округа»;</w:t>
      </w:r>
      <w:bookmarkEnd w:id="151"/>
    </w:p>
    <w:p w:rsidR="00B52DE3" w:rsidRDefault="00DE73E3">
      <w:pPr>
        <w:widowControl w:val="0"/>
        <w:spacing w:after="0" w:line="360" w:lineRule="auto"/>
        <w:ind w:firstLine="709"/>
        <w:jc w:val="both"/>
        <w:outlineLvl w:val="0"/>
        <w:rPr>
          <w:rFonts w:ascii="Times New Roman" w:hAnsi="Times New Roman" w:cs="Times New Roman"/>
          <w:sz w:val="28"/>
          <w:szCs w:val="28"/>
        </w:rPr>
      </w:pPr>
      <w:bookmarkStart w:id="152" w:name="_Toc140"/>
      <w:r>
        <w:rPr>
          <w:rFonts w:ascii="Times New Roman" w:eastAsia="Times New Roman" w:hAnsi="Times New Roman" w:cs="Times New Roman"/>
          <w:bCs/>
          <w:spacing w:val="-3"/>
          <w:sz w:val="28"/>
          <w:szCs w:val="28"/>
        </w:rPr>
        <w:t>Решением думы</w:t>
      </w:r>
      <w:r>
        <w:rPr>
          <w:rFonts w:ascii="Times New Roman" w:eastAsia="Times New Roman" w:hAnsi="Times New Roman" w:cs="Times New Roman"/>
          <w:b/>
          <w:bCs/>
          <w:spacing w:val="-3"/>
          <w:sz w:val="28"/>
          <w:szCs w:val="28"/>
        </w:rPr>
        <w:t xml:space="preserve"> </w:t>
      </w:r>
      <w:r>
        <w:rPr>
          <w:rFonts w:ascii="Times New Roman" w:eastAsia="Times New Roman" w:hAnsi="Times New Roman" w:cs="Times New Roman"/>
          <w:bCs/>
          <w:spacing w:val="-3"/>
          <w:sz w:val="28"/>
          <w:szCs w:val="28"/>
        </w:rPr>
        <w:t xml:space="preserve">Уссурийского городского округа от 25 октября </w:t>
      </w:r>
      <w:r>
        <w:rPr>
          <w:rFonts w:ascii="Times New Roman" w:eastAsia="Times New Roman" w:hAnsi="Times New Roman" w:cs="Times New Roman"/>
          <w:bCs/>
          <w:spacing w:val="-3"/>
          <w:sz w:val="28"/>
          <w:szCs w:val="28"/>
        </w:rPr>
        <w:br/>
        <w:t>2005 года № 316 «О Положении о создании, содержании и организации</w:t>
      </w:r>
      <w:r>
        <w:rPr>
          <w:rFonts w:ascii="Times New Roman" w:eastAsia="Times New Roman" w:hAnsi="Times New Roman" w:cs="Times New Roman"/>
          <w:b/>
          <w:bCs/>
          <w:spacing w:val="-3"/>
          <w:sz w:val="28"/>
          <w:szCs w:val="28"/>
        </w:rPr>
        <w:t xml:space="preserve"> </w:t>
      </w:r>
      <w:r>
        <w:rPr>
          <w:rFonts w:ascii="Times New Roman" w:eastAsia="Times New Roman" w:hAnsi="Times New Roman" w:cs="Times New Roman"/>
          <w:bCs/>
          <w:spacing w:val="-3"/>
          <w:sz w:val="28"/>
          <w:szCs w:val="28"/>
        </w:rPr>
        <w:t>деятельности аварийно-спасательных служб и аварийно-спасательных формирований на территории Уссурийского</w:t>
      </w:r>
      <w:r>
        <w:rPr>
          <w:rFonts w:ascii="Times New Roman" w:eastAsia="Times New Roman" w:hAnsi="Times New Roman" w:cs="Times New Roman"/>
          <w:b/>
          <w:bCs/>
          <w:spacing w:val="-3"/>
          <w:sz w:val="28"/>
          <w:szCs w:val="28"/>
        </w:rPr>
        <w:t xml:space="preserve"> </w:t>
      </w:r>
      <w:r>
        <w:rPr>
          <w:rFonts w:ascii="Times New Roman" w:eastAsia="Times New Roman" w:hAnsi="Times New Roman" w:cs="Times New Roman"/>
          <w:bCs/>
          <w:spacing w:val="-3"/>
          <w:sz w:val="28"/>
          <w:szCs w:val="28"/>
        </w:rPr>
        <w:t>городского округа».</w:t>
      </w:r>
      <w:bookmarkEnd w:id="152"/>
    </w:p>
    <w:p w:rsidR="00B52DE3" w:rsidRDefault="00DE73E3">
      <w:pPr>
        <w:widowControl w:val="0"/>
        <w:spacing w:after="0" w:line="360" w:lineRule="auto"/>
        <w:ind w:firstLine="709"/>
        <w:jc w:val="both"/>
        <w:outlineLvl w:val="0"/>
        <w:rPr>
          <w:rFonts w:ascii="Times New Roman" w:hAnsi="Times New Roman" w:cs="Times New Roman"/>
          <w:sz w:val="28"/>
          <w:szCs w:val="28"/>
        </w:rPr>
      </w:pPr>
      <w:bookmarkStart w:id="153" w:name="_Toc141"/>
      <w:r>
        <w:rPr>
          <w:rFonts w:ascii="Times New Roman" w:eastAsia="Times New Roman" w:hAnsi="Times New Roman" w:cs="Times New Roman"/>
          <w:bCs/>
          <w:spacing w:val="-3"/>
          <w:sz w:val="28"/>
          <w:szCs w:val="28"/>
        </w:rPr>
        <w:t>По состоянию на 01 декабря 2025 года проведено 32 заседания КЧС и ОПБ на которых внесены предложения по снижению рисков возникновения ЧС, предупреждению травматизма и гибели людей в случае возникновения чрезвычайных ситуаций, что позволило обеспечить согласованность</w:t>
      </w:r>
      <w:r>
        <w:rPr>
          <w:rFonts w:ascii="Times New Roman" w:eastAsia="Times New Roman" w:hAnsi="Times New Roman" w:cs="Times New Roman"/>
          <w:b/>
          <w:bCs/>
          <w:spacing w:val="-3"/>
          <w:sz w:val="28"/>
          <w:szCs w:val="28"/>
        </w:rPr>
        <w:t xml:space="preserve"> </w:t>
      </w:r>
      <w:r>
        <w:rPr>
          <w:rFonts w:ascii="Times New Roman" w:eastAsia="Times New Roman" w:hAnsi="Times New Roman" w:cs="Times New Roman"/>
          <w:bCs/>
          <w:spacing w:val="-3"/>
          <w:sz w:val="28"/>
          <w:szCs w:val="28"/>
        </w:rPr>
        <w:t xml:space="preserve">действий органов местного самоуправления Уссурийского городского округа, организаций, сил Уссурийского городского звена РСЧС при решении вопросов в области предупреждения и ликвидации чрезвычайных ситуаций, обеспечения пожарной безопасности. </w:t>
      </w:r>
      <w:bookmarkEnd w:id="153"/>
    </w:p>
    <w:p w:rsidR="00B52DE3" w:rsidRDefault="00DE73E3">
      <w:pPr>
        <w:widowControl w:val="0"/>
        <w:spacing w:after="0" w:line="240" w:lineRule="auto"/>
        <w:ind w:firstLine="720"/>
        <w:jc w:val="center"/>
        <w:rPr>
          <w:rFonts w:ascii="Times New Roman" w:hAnsi="Times New Roman" w:cs="Times New Roman"/>
          <w:sz w:val="28"/>
          <w:szCs w:val="28"/>
        </w:rPr>
      </w:pPr>
      <w:r>
        <w:rPr>
          <w:rFonts w:ascii="Times New Roman" w:eastAsia="Times New Roman" w:hAnsi="Times New Roman" w:cs="Times New Roman"/>
          <w:b/>
          <w:bCs/>
          <w:sz w:val="28"/>
          <w:szCs w:val="28"/>
        </w:rPr>
        <w:t xml:space="preserve">Сводные данные по количеству разработанных паспортов безопасности, планов повышения защищенности критически важных объектов, деклараций промышленной безопасности </w:t>
      </w:r>
      <w:r>
        <w:rPr>
          <w:rFonts w:ascii="Times New Roman" w:eastAsia="Times New Roman" w:hAnsi="Times New Roman" w:cs="Times New Roman"/>
          <w:b/>
          <w:bCs/>
          <w:sz w:val="28"/>
          <w:szCs w:val="28"/>
        </w:rPr>
        <w:br/>
        <w:t>и деклараций безопасности гидротехнических сооружений</w:t>
      </w:r>
    </w:p>
    <w:p w:rsidR="00B52DE3" w:rsidRDefault="00B52DE3">
      <w:pPr>
        <w:widowControl w:val="0"/>
        <w:spacing w:after="0" w:line="240" w:lineRule="auto"/>
        <w:ind w:firstLine="720"/>
        <w:jc w:val="center"/>
        <w:rPr>
          <w:rFonts w:ascii="Times New Roman" w:hAnsi="Times New Roman" w:cs="Times New Roman"/>
          <w:b/>
          <w:sz w:val="24"/>
          <w:szCs w:val="24"/>
        </w:rPr>
      </w:pPr>
    </w:p>
    <w:tbl>
      <w:tblPr>
        <w:tblW w:w="9506" w:type="dxa"/>
        <w:tblInd w:w="-113" w:type="dxa"/>
        <w:tblLayout w:type="fixed"/>
        <w:tblLook w:val="04A0"/>
      </w:tblPr>
      <w:tblGrid>
        <w:gridCol w:w="534"/>
        <w:gridCol w:w="1741"/>
        <w:gridCol w:w="528"/>
        <w:gridCol w:w="1134"/>
        <w:gridCol w:w="990"/>
        <w:gridCol w:w="1419"/>
        <w:gridCol w:w="851"/>
        <w:gridCol w:w="565"/>
        <w:gridCol w:w="994"/>
        <w:gridCol w:w="750"/>
      </w:tblGrid>
      <w:tr w:rsidR="00B52DE3">
        <w:trPr>
          <w:cantSplit/>
          <w:trHeight w:val="2258"/>
        </w:trPr>
        <w:tc>
          <w:tcPr>
            <w:tcW w:w="533"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п</w:t>
            </w:r>
            <w:proofErr w:type="spellEnd"/>
            <w:r>
              <w:rPr>
                <w:rFonts w:ascii="Times New Roman" w:eastAsia="Times New Roman" w:hAnsi="Times New Roman" w:cs="Times New Roman"/>
              </w:rPr>
              <w:t>/</w:t>
            </w:r>
            <w:proofErr w:type="spellStart"/>
            <w:r>
              <w:rPr>
                <w:rFonts w:ascii="Times New Roman" w:eastAsia="Times New Roman" w:hAnsi="Times New Roman" w:cs="Times New Roman"/>
              </w:rPr>
              <w:t>п</w:t>
            </w:r>
            <w:proofErr w:type="spellEnd"/>
          </w:p>
        </w:tc>
        <w:tc>
          <w:tcPr>
            <w:tcW w:w="174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Муниципальное образование</w:t>
            </w:r>
          </w:p>
        </w:tc>
        <w:tc>
          <w:tcPr>
            <w:tcW w:w="528"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ПОО</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разработанных  паспортов безопасности ПОО</w:t>
            </w:r>
          </w:p>
        </w:tc>
        <w:tc>
          <w:tcPr>
            <w:tcW w:w="990"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ОПО подлежащих декларированию</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разработанных деклараций промышленно безопасности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паспортов безопасности МО</w:t>
            </w:r>
          </w:p>
        </w:tc>
        <w:tc>
          <w:tcPr>
            <w:tcW w:w="565"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ГТС</w:t>
            </w:r>
          </w:p>
        </w:tc>
        <w:tc>
          <w:tcPr>
            <w:tcW w:w="994"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ГТС подлежащих декларированию</w:t>
            </w:r>
          </w:p>
        </w:tc>
        <w:tc>
          <w:tcPr>
            <w:tcW w:w="750" w:type="dxa"/>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разработанных деклараций ГТС</w:t>
            </w:r>
          </w:p>
        </w:tc>
      </w:tr>
      <w:tr w:rsidR="00B52DE3">
        <w:trPr>
          <w:cantSplit/>
          <w:trHeight w:val="393"/>
        </w:trPr>
        <w:tc>
          <w:tcPr>
            <w:tcW w:w="533"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w:t>
            </w:r>
          </w:p>
        </w:tc>
        <w:tc>
          <w:tcPr>
            <w:tcW w:w="174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2</w:t>
            </w:r>
          </w:p>
        </w:tc>
        <w:tc>
          <w:tcPr>
            <w:tcW w:w="528"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4</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5</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7</w:t>
            </w: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8</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9</w:t>
            </w:r>
          </w:p>
        </w:tc>
        <w:tc>
          <w:tcPr>
            <w:tcW w:w="75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10</w:t>
            </w:r>
          </w:p>
        </w:tc>
      </w:tr>
      <w:tr w:rsidR="00B52DE3">
        <w:trPr>
          <w:trHeight w:val="247"/>
        </w:trPr>
        <w:tc>
          <w:tcPr>
            <w:tcW w:w="533"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w:t>
            </w:r>
          </w:p>
        </w:tc>
        <w:tc>
          <w:tcPr>
            <w:tcW w:w="174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Уссурийский городской округ</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6</w:t>
            </w:r>
          </w:p>
        </w:tc>
        <w:tc>
          <w:tcPr>
            <w:tcW w:w="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2</w:t>
            </w:r>
          </w:p>
        </w:tc>
        <w:tc>
          <w:tcPr>
            <w:tcW w:w="14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0</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11</w:t>
            </w:r>
          </w:p>
        </w:tc>
        <w:tc>
          <w:tcPr>
            <w:tcW w:w="9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w:t>
            </w:r>
          </w:p>
        </w:tc>
      </w:tr>
    </w:tbl>
    <w:p w:rsidR="00B52DE3" w:rsidRDefault="00B52DE3">
      <w:pPr>
        <w:widowControl w:val="0"/>
        <w:spacing w:after="0" w:line="259" w:lineRule="exact"/>
        <w:ind w:right="20"/>
        <w:outlineLvl w:val="0"/>
        <w:rPr>
          <w:rFonts w:ascii="Times New Roman" w:hAnsi="Times New Roman" w:cs="Times New Roman"/>
          <w:b/>
          <w:bCs/>
          <w:spacing w:val="-3"/>
          <w:sz w:val="28"/>
          <w:szCs w:val="28"/>
        </w:rPr>
      </w:pPr>
    </w:p>
    <w:p w:rsidR="00B52DE3" w:rsidRDefault="00B52DE3">
      <w:pPr>
        <w:widowControl w:val="0"/>
        <w:spacing w:after="0" w:line="259" w:lineRule="exact"/>
        <w:ind w:right="20"/>
        <w:outlineLvl w:val="0"/>
        <w:rPr>
          <w:rFonts w:ascii="Times New Roman" w:hAnsi="Times New Roman" w:cs="Times New Roman"/>
          <w:b/>
          <w:bCs/>
          <w:spacing w:val="-3"/>
          <w:sz w:val="28"/>
          <w:szCs w:val="28"/>
        </w:rPr>
      </w:pPr>
    </w:p>
    <w:p w:rsidR="00B52DE3" w:rsidRDefault="00DE73E3">
      <w:pPr>
        <w:widowControl w:val="0"/>
        <w:spacing w:after="0" w:line="259" w:lineRule="exact"/>
        <w:ind w:right="20" w:firstLine="709"/>
        <w:jc w:val="center"/>
        <w:outlineLvl w:val="0"/>
        <w:rPr>
          <w:rFonts w:ascii="Times New Roman" w:hAnsi="Times New Roman" w:cs="Times New Roman"/>
          <w:sz w:val="28"/>
          <w:szCs w:val="28"/>
        </w:rPr>
      </w:pPr>
      <w:bookmarkStart w:id="154" w:name="_Toc142"/>
      <w:r>
        <w:rPr>
          <w:rFonts w:ascii="Times New Roman" w:eastAsia="Times New Roman" w:hAnsi="Times New Roman" w:cs="Times New Roman"/>
          <w:b/>
          <w:spacing w:val="-3"/>
          <w:sz w:val="28"/>
          <w:szCs w:val="28"/>
        </w:rPr>
        <w:t>Деятельность по повышению готовности органов управления и сил РСЧС к ликвидации ЧС</w:t>
      </w:r>
      <w:bookmarkEnd w:id="154"/>
    </w:p>
    <w:p w:rsidR="00B52DE3" w:rsidRDefault="00B52DE3">
      <w:pPr>
        <w:widowControl w:val="0"/>
        <w:spacing w:after="0" w:line="259" w:lineRule="exact"/>
        <w:ind w:right="20" w:firstLine="709"/>
        <w:jc w:val="both"/>
        <w:outlineLvl w:val="0"/>
        <w:rPr>
          <w:rFonts w:ascii="Times New Roman" w:hAnsi="Times New Roman" w:cs="Times New Roman"/>
          <w:b/>
          <w:bCs/>
          <w:spacing w:val="-3"/>
          <w:sz w:val="28"/>
          <w:szCs w:val="28"/>
        </w:rPr>
      </w:pPr>
    </w:p>
    <w:p w:rsidR="00B52DE3" w:rsidRDefault="00DE73E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pacing w:val="-1"/>
          <w:sz w:val="28"/>
          <w:szCs w:val="28"/>
        </w:rPr>
        <w:t xml:space="preserve">Уссурийское городское звено Приморской территориальной подсистемы РСЧС </w:t>
      </w:r>
      <w:r>
        <w:rPr>
          <w:rFonts w:ascii="Times New Roman" w:eastAsia="Times New Roman" w:hAnsi="Times New Roman" w:cs="Times New Roman"/>
          <w:sz w:val="28"/>
          <w:szCs w:val="28"/>
        </w:rPr>
        <w:t xml:space="preserve">имеет два уровня: муниципальный и объектовый и включает в себя координационные органы, постоянно действующие органы </w:t>
      </w:r>
      <w:r>
        <w:rPr>
          <w:rFonts w:ascii="Times New Roman" w:eastAsia="Times New Roman" w:hAnsi="Times New Roman" w:cs="Times New Roman"/>
          <w:sz w:val="28"/>
          <w:szCs w:val="28"/>
        </w:rPr>
        <w:lastRenderedPageBreak/>
        <w:t xml:space="preserve">управления, органы повседневного управления, силы и средства, резервы финансовых и материальных ресурсов, системы связи, оповещения и информационного </w:t>
      </w:r>
      <w:r>
        <w:rPr>
          <w:rFonts w:ascii="Times New Roman" w:eastAsia="Times New Roman" w:hAnsi="Times New Roman" w:cs="Times New Roman"/>
          <w:spacing w:val="-2"/>
          <w:sz w:val="28"/>
          <w:szCs w:val="28"/>
        </w:rPr>
        <w:t>обеспечения.</w:t>
      </w:r>
    </w:p>
    <w:p w:rsidR="00B52DE3" w:rsidRDefault="00DE73E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pacing w:val="-2"/>
          <w:sz w:val="28"/>
          <w:szCs w:val="28"/>
        </w:rPr>
        <w:t>Повышение готовности органов управления и сил РСЧС достигается проведением плановых занятий, в ходе проводимых учений и тренировок, при обучении на курсах ГО и в УМЦ Приморского края, а также созданием, размещением, хранением и восполнением резервов материальных ресурсов для ликвидации чрезвычайных ситуаций,</w:t>
      </w:r>
      <w:r>
        <w:rPr>
          <w:rFonts w:ascii="Times New Roman" w:eastAsia="Times New Roman" w:hAnsi="Times New Roman" w:cs="Times New Roman"/>
          <w:sz w:val="28"/>
          <w:szCs w:val="28"/>
        </w:rPr>
        <w:t xml:space="preserve"> </w:t>
      </w:r>
      <w:r>
        <w:rPr>
          <w:rFonts w:ascii="Times New Roman" w:eastAsia="Times New Roman" w:hAnsi="Times New Roman" w:cs="Times New Roman"/>
          <w:spacing w:val="-2"/>
          <w:sz w:val="28"/>
          <w:szCs w:val="28"/>
        </w:rPr>
        <w:t>проведением мероприятий по подготовке к эвакуации населения, материальных и культурных ценностей.</w:t>
      </w:r>
    </w:p>
    <w:p w:rsidR="00B52DE3" w:rsidRDefault="00DE73E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pacing w:val="-2"/>
          <w:sz w:val="28"/>
          <w:szCs w:val="28"/>
        </w:rPr>
        <w:t xml:space="preserve">В ходе ликвидации чрезвычайных ситуаций основные усилия органов управления и сил РСЧС направлены на проведение мероприятий по жизнеобеспечению населения, защите населения и территорий от чрезвычайных ситуаций, организации работ по ликвидации чрезвычайных ситуаций и всестороннему обеспечению действий сил и средств Уссурийского городского звена Приморской территориальной подсистемы РСЧС, поддержанию общественного порядка в ходе их проведения. </w:t>
      </w:r>
    </w:p>
    <w:p w:rsidR="00B52DE3" w:rsidRDefault="00DE73E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pacing w:val="-2"/>
          <w:sz w:val="28"/>
          <w:szCs w:val="28"/>
        </w:rPr>
        <w:t xml:space="preserve">Все системы жизнеобеспечения находятся в исправном состоянии. Работы по обновлению (реконструкции) технической базы, инженерных сетей </w:t>
      </w:r>
      <w:r>
        <w:rPr>
          <w:rFonts w:ascii="Times New Roman" w:eastAsia="Times New Roman" w:hAnsi="Times New Roman" w:cs="Times New Roman"/>
          <w:spacing w:val="-2"/>
          <w:sz w:val="28"/>
          <w:szCs w:val="28"/>
        </w:rPr>
        <w:br/>
        <w:t>и теплоэнергетического оборудования осуществляются в плановом порядке.</w:t>
      </w:r>
    </w:p>
    <w:p w:rsidR="00B52DE3" w:rsidRDefault="00B52DE3">
      <w:pPr>
        <w:widowControl w:val="0"/>
        <w:spacing w:after="0" w:line="240" w:lineRule="auto"/>
        <w:ind w:left="709"/>
        <w:jc w:val="both"/>
        <w:rPr>
          <w:rFonts w:ascii="Times New Roman" w:hAnsi="Times New Roman" w:cs="Times New Roman"/>
          <w:sz w:val="24"/>
          <w:szCs w:val="24"/>
        </w:rPr>
      </w:pPr>
    </w:p>
    <w:p w:rsidR="00B52DE3" w:rsidRDefault="00DE73E3">
      <w:pPr>
        <w:widowControl w:val="0"/>
        <w:spacing w:after="0" w:line="259" w:lineRule="exact"/>
        <w:ind w:right="20" w:firstLine="709"/>
        <w:jc w:val="center"/>
        <w:outlineLvl w:val="0"/>
        <w:rPr>
          <w:rFonts w:ascii="Times New Roman" w:hAnsi="Times New Roman" w:cs="Times New Roman"/>
          <w:sz w:val="28"/>
          <w:szCs w:val="28"/>
        </w:rPr>
      </w:pPr>
      <w:bookmarkStart w:id="155" w:name="_Toc143"/>
      <w:r>
        <w:rPr>
          <w:rFonts w:ascii="Times New Roman" w:eastAsia="Times New Roman" w:hAnsi="Times New Roman" w:cs="Times New Roman"/>
          <w:b/>
          <w:spacing w:val="-3"/>
          <w:sz w:val="28"/>
          <w:szCs w:val="28"/>
        </w:rPr>
        <w:t>Оповещение органов управления РСЧС и населения в чрезвычайных ситуациях, развитие систем связи</w:t>
      </w:r>
      <w:bookmarkEnd w:id="155"/>
    </w:p>
    <w:p w:rsidR="00B52DE3" w:rsidRDefault="00B52DE3">
      <w:pPr>
        <w:widowControl w:val="0"/>
        <w:spacing w:after="0" w:line="259" w:lineRule="exact"/>
        <w:ind w:right="20" w:firstLine="709"/>
        <w:jc w:val="both"/>
        <w:outlineLvl w:val="0"/>
        <w:rPr>
          <w:rFonts w:ascii="Times New Roman" w:hAnsi="Times New Roman" w:cs="Times New Roman"/>
          <w:b/>
          <w:bCs/>
          <w:spacing w:val="-3"/>
          <w:sz w:val="28"/>
          <w:szCs w:val="28"/>
        </w:rPr>
      </w:pPr>
    </w:p>
    <w:p w:rsidR="00B52DE3" w:rsidRDefault="00B52DE3">
      <w:pPr>
        <w:widowControl w:val="0"/>
        <w:spacing w:after="0" w:line="259" w:lineRule="exact"/>
        <w:ind w:right="20" w:firstLine="709"/>
        <w:jc w:val="both"/>
        <w:outlineLvl w:val="0"/>
        <w:rPr>
          <w:rFonts w:ascii="Times New Roman" w:hAnsi="Times New Roman" w:cs="Times New Roman"/>
          <w:b/>
          <w:bCs/>
          <w:spacing w:val="-3"/>
          <w:sz w:val="28"/>
          <w:szCs w:val="28"/>
        </w:rPr>
      </w:pP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Система оповещения Уссурийского городского округа создана </w:t>
      </w:r>
      <w:r>
        <w:rPr>
          <w:rFonts w:ascii="Times New Roman" w:eastAsia="Times New Roman" w:hAnsi="Times New Roman" w:cs="Times New Roman"/>
          <w:sz w:val="28"/>
          <w:szCs w:val="28"/>
        </w:rPr>
        <w:br/>
        <w:t>и функционирует с января 2012 года и состоит из системы оповещения руководящего состава и системы оповещения населения.</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Система оповещения руководящего состава администрации УГО, руководителей муниципальных учреждений и организаций создана на базе аппаратно-программного комплекса Рупор и запасного комплекса </w:t>
      </w:r>
      <w:r>
        <w:rPr>
          <w:rFonts w:ascii="Times New Roman" w:eastAsia="Times New Roman" w:hAnsi="Times New Roman" w:cs="Times New Roman"/>
          <w:sz w:val="28"/>
          <w:szCs w:val="28"/>
          <w:lang w:val="en-US"/>
        </w:rPr>
        <w:t>DragNet</w:t>
      </w:r>
      <w:r>
        <w:rPr>
          <w:rFonts w:ascii="Times New Roman" w:eastAsia="Times New Roman" w:hAnsi="Times New Roman" w:cs="Times New Roman"/>
          <w:sz w:val="28"/>
          <w:szCs w:val="28"/>
        </w:rPr>
        <w:t xml:space="preserve">, позволяет доводить заранее подготовленные сообщения на служебные, </w:t>
      </w:r>
      <w:r>
        <w:rPr>
          <w:rFonts w:ascii="Times New Roman" w:eastAsia="Times New Roman" w:hAnsi="Times New Roman" w:cs="Times New Roman"/>
          <w:sz w:val="28"/>
          <w:szCs w:val="28"/>
        </w:rPr>
        <w:lastRenderedPageBreak/>
        <w:t>домашние и мобильные телефоны руководящего состава в максимально короткие сроки.</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Система оповещения населения Уссурийского городского округа по радиоканалу КТСО-Р включает в себя канал эфирного радиовещан</w:t>
      </w:r>
      <w:r w:rsidR="00B742ED">
        <w:rPr>
          <w:rFonts w:ascii="Times New Roman" w:eastAsia="Times New Roman" w:hAnsi="Times New Roman" w:cs="Times New Roman"/>
          <w:sz w:val="28"/>
          <w:szCs w:val="28"/>
        </w:rPr>
        <w:t>ия «Дорожное Радио», «Радио ФМ»</w:t>
      </w:r>
      <w:r>
        <w:rPr>
          <w:rFonts w:ascii="Times New Roman" w:eastAsia="Times New Roman" w:hAnsi="Times New Roman" w:cs="Times New Roman"/>
          <w:sz w:val="28"/>
          <w:szCs w:val="28"/>
        </w:rPr>
        <w:t>,</w:t>
      </w:r>
      <w:r w:rsidR="00B742E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телевизионный канал «Телемикс», комплекс технических средств оповещения населения по радиоканалам (КТСО-Р) и сопряженные с ним локальные системы оповещения (ЛСО) потенциально опасных объектов (ПОО) Уссурийского городского округа и сигнально-громкоговорящие установки (СГУ) отдела Министерства внутренних дел России по городу Уссурийску, привлекаемых в целях оповещения населения по плану взаимодействия.</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Имеющаяся система оповещения населения позволяет довести сигналы оповещения до 96 % населения Уссурийского городского округа в течение 5 -10 минут.</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Руководство системой оповещения Уссурийского городского округа осуществляет глава УГО через директора МКУ «Управление по делам гражданской обороны и чрезвычайным ситуациям».</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Запуск системы оповещения производится оперативным дежурным ЕДДС МКУ «Управление по делам гражданской обороны и чрезвычайным ситуациям» по команде вышеназванных лиц.</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Для оповещения населения УГО используются 56 выносных акустических устройства (далее – ВАУ), 255 громкоговорителей, </w:t>
      </w:r>
      <w:r>
        <w:rPr>
          <w:rFonts w:ascii="Times New Roman" w:eastAsia="Times New Roman" w:hAnsi="Times New Roman" w:cs="Times New Roman"/>
          <w:sz w:val="28"/>
          <w:szCs w:val="28"/>
        </w:rPr>
        <w:br/>
        <w:t>РТУ 2 (устройство отбора каналов радио и телевидения).</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целях постоянного поддержания системы оповещения в рабочем состоянии выполнены мероприятия:</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с подрядными организациями заключены договоры на техническое обслуживание системы оповещения.</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ЕДДС Уссурийского городского округа ведет обмен информацией по аналоговым и цифровым каналам связи, которые постоянно </w:t>
      </w:r>
      <w:r>
        <w:rPr>
          <w:rFonts w:ascii="Times New Roman" w:eastAsia="Times New Roman" w:hAnsi="Times New Roman" w:cs="Times New Roman"/>
          <w:sz w:val="28"/>
          <w:szCs w:val="28"/>
        </w:rPr>
        <w:lastRenderedPageBreak/>
        <w:t>модернизируются.</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Деятельность ЕДДС осуществляется во взаимодействии с ЦУКС ГУ МЧС России по Приморскому краю, ГКУ ПК по ПБ, делам ГО, защите населения и территорий от ЧС, Министерством ГОЧС Приморского края </w:t>
      </w:r>
      <w:r>
        <w:rPr>
          <w:rFonts w:ascii="Times New Roman" w:eastAsia="Times New Roman" w:hAnsi="Times New Roman" w:cs="Times New Roman"/>
          <w:sz w:val="28"/>
          <w:szCs w:val="28"/>
        </w:rPr>
        <w:br/>
        <w:t>и администрацией Уссурийского городского округа.</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Ежедневная информация ЕДДС о состоянии объектов предоставляется в «Центр управления в кризисных ситуациях Главного управления МЧС России по Приморскому краю» и администрацию Уссурийского городского округа.</w:t>
      </w:r>
    </w:p>
    <w:p w:rsidR="00B52DE3" w:rsidRDefault="00B52DE3">
      <w:pPr>
        <w:widowControl w:val="0"/>
        <w:spacing w:after="0" w:line="240" w:lineRule="auto"/>
        <w:ind w:firstLine="709"/>
        <w:jc w:val="center"/>
        <w:rPr>
          <w:rFonts w:ascii="Times New Roman" w:hAnsi="Times New Roman" w:cs="Times New Roman"/>
          <w:sz w:val="28"/>
          <w:szCs w:val="28"/>
        </w:rPr>
      </w:pPr>
    </w:p>
    <w:p w:rsidR="00B52DE3" w:rsidRDefault="00DE73E3">
      <w:pPr>
        <w:widowControl w:val="0"/>
        <w:spacing w:after="0" w:line="240" w:lineRule="auto"/>
        <w:ind w:firstLine="709"/>
        <w:jc w:val="center"/>
        <w:rPr>
          <w:rFonts w:ascii="Times New Roman" w:hAnsi="Times New Roman" w:cs="Times New Roman"/>
          <w:sz w:val="28"/>
          <w:szCs w:val="28"/>
        </w:rPr>
      </w:pPr>
      <w:r>
        <w:rPr>
          <w:rFonts w:ascii="Times New Roman" w:eastAsia="Times New Roman" w:hAnsi="Times New Roman" w:cs="Times New Roman"/>
          <w:b/>
          <w:bCs/>
          <w:sz w:val="28"/>
          <w:szCs w:val="28"/>
        </w:rPr>
        <w:t>Организация работы по созданию систем обеспечения вызова экстренных оперативных служб по единому телефонному номеру «112».</w:t>
      </w:r>
    </w:p>
    <w:p w:rsidR="00B52DE3" w:rsidRDefault="00B52DE3">
      <w:pPr>
        <w:widowControl w:val="0"/>
        <w:spacing w:after="0" w:line="240" w:lineRule="auto"/>
        <w:ind w:firstLine="689"/>
        <w:jc w:val="center"/>
        <w:rPr>
          <w:rFonts w:ascii="Times New Roman" w:hAnsi="Times New Roman" w:cs="Times New Roman"/>
          <w:b/>
          <w:bCs/>
          <w:sz w:val="28"/>
          <w:szCs w:val="28"/>
        </w:rPr>
      </w:pPr>
    </w:p>
    <w:p w:rsidR="00B52DE3" w:rsidRDefault="00DE73E3">
      <w:pPr>
        <w:widowControl w:val="0"/>
        <w:spacing w:after="0" w:line="240" w:lineRule="auto"/>
        <w:ind w:firstLine="689"/>
        <w:jc w:val="center"/>
        <w:rPr>
          <w:rFonts w:ascii="Times New Roman" w:hAnsi="Times New Roman" w:cs="Times New Roman"/>
          <w:sz w:val="28"/>
          <w:szCs w:val="28"/>
        </w:rPr>
      </w:pPr>
      <w:r>
        <w:rPr>
          <w:rFonts w:ascii="Times New Roman" w:eastAsia="Times New Roman" w:hAnsi="Times New Roman" w:cs="Times New Roman"/>
          <w:b/>
          <w:bCs/>
          <w:sz w:val="28"/>
          <w:szCs w:val="28"/>
        </w:rPr>
        <w:t>Показатели охвата населения техническими средствам оповещения</w:t>
      </w:r>
    </w:p>
    <w:p w:rsidR="00B52DE3" w:rsidRDefault="00DE73E3">
      <w:pPr>
        <w:widowControl w:val="0"/>
        <w:spacing w:after="0" w:line="269" w:lineRule="exact"/>
        <w:jc w:val="center"/>
        <w:rPr>
          <w:rFonts w:ascii="Times New Roman" w:hAnsi="Times New Roman" w:cs="Times New Roman"/>
          <w:sz w:val="28"/>
          <w:szCs w:val="28"/>
        </w:rPr>
      </w:pPr>
      <w:r>
        <w:rPr>
          <w:rFonts w:ascii="Times New Roman" w:eastAsia="Times New Roman" w:hAnsi="Times New Roman" w:cs="Times New Roman"/>
          <w:b/>
          <w:bCs/>
          <w:iCs/>
          <w:spacing w:val="-2"/>
          <w:sz w:val="28"/>
          <w:szCs w:val="28"/>
        </w:rPr>
        <w:t>(мощными электронными акустическими системами)</w:t>
      </w:r>
      <w:r>
        <w:rPr>
          <w:rFonts w:ascii="Times New Roman" w:eastAsia="Times New Roman" w:hAnsi="Times New Roman" w:cs="Times New Roman"/>
          <w:b/>
          <w:bCs/>
          <w:i/>
          <w:iCs/>
          <w:spacing w:val="-2"/>
          <w:sz w:val="28"/>
          <w:szCs w:val="28"/>
        </w:rPr>
        <w:t xml:space="preserve"> </w:t>
      </w:r>
      <w:r>
        <w:rPr>
          <w:rFonts w:ascii="Times New Roman" w:eastAsia="Times New Roman" w:hAnsi="Times New Roman" w:cs="Times New Roman"/>
          <w:b/>
          <w:bCs/>
          <w:i/>
          <w:iCs/>
          <w:spacing w:val="-2"/>
          <w:sz w:val="28"/>
          <w:szCs w:val="28"/>
        </w:rPr>
        <w:br/>
      </w:r>
      <w:r>
        <w:rPr>
          <w:rFonts w:ascii="Times New Roman" w:eastAsia="Times New Roman" w:hAnsi="Times New Roman" w:cs="Times New Roman"/>
          <w:b/>
          <w:bCs/>
          <w:iCs/>
          <w:spacing w:val="-2"/>
          <w:sz w:val="28"/>
          <w:szCs w:val="28"/>
        </w:rPr>
        <w:t>в автоматизированном режиме</w:t>
      </w:r>
    </w:p>
    <w:p w:rsidR="00B52DE3" w:rsidRDefault="00B52DE3">
      <w:pPr>
        <w:widowControl w:val="0"/>
        <w:spacing w:after="0" w:line="269" w:lineRule="exact"/>
        <w:jc w:val="center"/>
        <w:rPr>
          <w:rFonts w:ascii="Times New Roman" w:hAnsi="Times New Roman" w:cs="Times New Roman"/>
          <w:iCs/>
          <w:spacing w:val="-2"/>
          <w:sz w:val="28"/>
          <w:szCs w:val="24"/>
        </w:rPr>
      </w:pPr>
    </w:p>
    <w:p w:rsidR="00B52DE3" w:rsidRDefault="00B52DE3">
      <w:pPr>
        <w:widowControl w:val="0"/>
        <w:spacing w:after="0" w:line="269" w:lineRule="exact"/>
        <w:jc w:val="center"/>
        <w:rPr>
          <w:rFonts w:ascii="Times New Roman" w:hAnsi="Times New Roman" w:cs="Times New Roman"/>
          <w:iCs/>
          <w:spacing w:val="-2"/>
          <w:sz w:val="28"/>
          <w:szCs w:val="24"/>
        </w:rPr>
      </w:pPr>
    </w:p>
    <w:tbl>
      <w:tblPr>
        <w:tblW w:w="9571" w:type="dxa"/>
        <w:tblInd w:w="-113" w:type="dxa"/>
        <w:tblLayout w:type="fixed"/>
        <w:tblLook w:val="04A0"/>
      </w:tblPr>
      <w:tblGrid>
        <w:gridCol w:w="1294"/>
        <w:gridCol w:w="1746"/>
        <w:gridCol w:w="1907"/>
        <w:gridCol w:w="1635"/>
        <w:gridCol w:w="1629"/>
        <w:gridCol w:w="1360"/>
      </w:tblGrid>
      <w:tr w:rsidR="00B52DE3">
        <w:tc>
          <w:tcPr>
            <w:tcW w:w="1293" w:type="dxa"/>
            <w:vMerge w:val="restart"/>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 xml:space="preserve">№ </w:t>
            </w:r>
            <w:proofErr w:type="spellStart"/>
            <w:r>
              <w:rPr>
                <w:rFonts w:ascii="Times New Roman" w:eastAsia="Times New Roman" w:hAnsi="Times New Roman" w:cs="Times New Roman"/>
                <w:iCs/>
                <w:spacing w:val="-2"/>
              </w:rPr>
              <w:t>п</w:t>
            </w:r>
            <w:proofErr w:type="spellEnd"/>
            <w:r>
              <w:rPr>
                <w:rFonts w:ascii="Times New Roman" w:eastAsia="Times New Roman" w:hAnsi="Times New Roman" w:cs="Times New Roman"/>
                <w:iCs/>
                <w:spacing w:val="-2"/>
              </w:rPr>
              <w:t>/</w:t>
            </w:r>
            <w:proofErr w:type="spellStart"/>
            <w:r>
              <w:rPr>
                <w:rFonts w:ascii="Times New Roman" w:eastAsia="Times New Roman" w:hAnsi="Times New Roman" w:cs="Times New Roman"/>
                <w:iCs/>
                <w:spacing w:val="-2"/>
              </w:rPr>
              <w:t>п</w:t>
            </w:r>
            <w:proofErr w:type="spellEnd"/>
          </w:p>
        </w:tc>
        <w:tc>
          <w:tcPr>
            <w:tcW w:w="174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Субъект РФ</w:t>
            </w:r>
          </w:p>
        </w:tc>
        <w:tc>
          <w:tcPr>
            <w:tcW w:w="190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Муниципальное образование</w:t>
            </w:r>
          </w:p>
        </w:tc>
        <w:tc>
          <w:tcPr>
            <w:tcW w:w="4624" w:type="dxa"/>
            <w:gridSpan w:val="3"/>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Проживает населения</w:t>
            </w:r>
          </w:p>
        </w:tc>
      </w:tr>
      <w:tr w:rsidR="00B52DE3">
        <w:trPr>
          <w:trHeight w:val="269"/>
        </w:trPr>
        <w:tc>
          <w:tcPr>
            <w:tcW w:w="1293"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746"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907"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635"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Всего</w:t>
            </w:r>
          </w:p>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(тыс.чел)</w:t>
            </w:r>
          </w:p>
        </w:tc>
        <w:tc>
          <w:tcPr>
            <w:tcW w:w="2989" w:type="dxa"/>
            <w:gridSpan w:val="2"/>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В зоне действия ТСО</w:t>
            </w:r>
          </w:p>
        </w:tc>
      </w:tr>
      <w:tr w:rsidR="00B52DE3">
        <w:tc>
          <w:tcPr>
            <w:tcW w:w="1293" w:type="dxa"/>
            <w:vMerge/>
            <w:tcBorders>
              <w:top w:val="single" w:sz="4" w:space="0" w:color="000000"/>
              <w:left w:val="single" w:sz="4" w:space="0" w:color="000000"/>
              <w:bottom w:val="single" w:sz="4" w:space="0" w:color="000000"/>
              <w:right w:val="single" w:sz="4" w:space="0" w:color="000000"/>
            </w:tcBorders>
          </w:tcPr>
          <w:p w:rsidR="00B52DE3" w:rsidRDefault="00B52DE3"/>
        </w:tc>
        <w:tc>
          <w:tcPr>
            <w:tcW w:w="1746"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907"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635"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tc>
        <w:tc>
          <w:tcPr>
            <w:tcW w:w="162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(тыс.чел)</w:t>
            </w:r>
          </w:p>
        </w:tc>
        <w:tc>
          <w:tcPr>
            <w:tcW w:w="13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w:t>
            </w:r>
          </w:p>
        </w:tc>
      </w:tr>
      <w:tr w:rsidR="00B52DE3">
        <w:tc>
          <w:tcPr>
            <w:tcW w:w="1293"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1</w:t>
            </w:r>
          </w:p>
        </w:tc>
        <w:tc>
          <w:tcPr>
            <w:tcW w:w="174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2</w:t>
            </w:r>
          </w:p>
        </w:tc>
        <w:tc>
          <w:tcPr>
            <w:tcW w:w="190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3</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4</w:t>
            </w:r>
          </w:p>
        </w:tc>
        <w:tc>
          <w:tcPr>
            <w:tcW w:w="162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5</w:t>
            </w:r>
          </w:p>
        </w:tc>
        <w:tc>
          <w:tcPr>
            <w:tcW w:w="13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6</w:t>
            </w:r>
          </w:p>
        </w:tc>
      </w:tr>
      <w:tr w:rsidR="00B52DE3">
        <w:tc>
          <w:tcPr>
            <w:tcW w:w="1293"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1.</w:t>
            </w:r>
          </w:p>
        </w:tc>
        <w:tc>
          <w:tcPr>
            <w:tcW w:w="174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Приморский край</w:t>
            </w:r>
          </w:p>
        </w:tc>
        <w:tc>
          <w:tcPr>
            <w:tcW w:w="190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Уссурийский городской округ</w:t>
            </w:r>
          </w:p>
        </w:tc>
        <w:tc>
          <w:tcPr>
            <w:tcW w:w="1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210,1</w:t>
            </w:r>
          </w:p>
        </w:tc>
        <w:tc>
          <w:tcPr>
            <w:tcW w:w="1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209,9</w:t>
            </w:r>
          </w:p>
        </w:tc>
        <w:tc>
          <w:tcPr>
            <w:tcW w:w="1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69" w:lineRule="exact"/>
              <w:jc w:val="center"/>
              <w:rPr>
                <w:rFonts w:ascii="Times New Roman" w:hAnsi="Times New Roman" w:cs="Times New Roman"/>
              </w:rPr>
            </w:pPr>
            <w:r>
              <w:rPr>
                <w:rFonts w:ascii="Times New Roman" w:eastAsia="Times New Roman" w:hAnsi="Times New Roman" w:cs="Times New Roman"/>
                <w:iCs/>
                <w:spacing w:val="-2"/>
              </w:rPr>
              <w:t>96</w:t>
            </w:r>
          </w:p>
        </w:tc>
      </w:tr>
    </w:tbl>
    <w:p w:rsidR="00B52DE3" w:rsidRDefault="00DE73E3">
      <w:pPr>
        <w:widowControl w:val="0"/>
        <w:tabs>
          <w:tab w:val="right" w:leader="underscore" w:pos="4484"/>
          <w:tab w:val="left" w:pos="4556"/>
          <w:tab w:val="left" w:leader="underscore" w:pos="9145"/>
        </w:tabs>
        <w:spacing w:after="0" w:line="240" w:lineRule="auto"/>
        <w:ind w:firstLine="709"/>
        <w:jc w:val="center"/>
        <w:rPr>
          <w:rFonts w:ascii="Times New Roman" w:hAnsi="Times New Roman" w:cs="Times New Roman"/>
        </w:rPr>
      </w:pPr>
      <w:r>
        <w:rPr>
          <w:rFonts w:ascii="Times New Roman" w:eastAsia="Times New Roman" w:hAnsi="Times New Roman" w:cs="Times New Roman"/>
          <w:b/>
          <w:spacing w:val="-3"/>
          <w:sz w:val="28"/>
          <w:szCs w:val="24"/>
        </w:rPr>
        <w:t>Финансирование мероприятий по реконструкции систем оповещения в период с 2023 по 2026 г.</w:t>
      </w:r>
    </w:p>
    <w:p w:rsidR="00B52DE3" w:rsidRDefault="00B52DE3">
      <w:pPr>
        <w:widowControl w:val="0"/>
        <w:tabs>
          <w:tab w:val="right" w:leader="underscore" w:pos="4484"/>
          <w:tab w:val="left" w:pos="4556"/>
          <w:tab w:val="left" w:leader="underscore" w:pos="9145"/>
        </w:tabs>
        <w:spacing w:after="0" w:line="240" w:lineRule="auto"/>
        <w:ind w:firstLine="709"/>
        <w:jc w:val="center"/>
        <w:rPr>
          <w:rFonts w:ascii="Times New Roman" w:hAnsi="Times New Roman" w:cs="Times New Roman"/>
          <w:b/>
          <w:bCs/>
          <w:spacing w:val="-3"/>
          <w:sz w:val="28"/>
          <w:szCs w:val="28"/>
        </w:rPr>
      </w:pPr>
    </w:p>
    <w:tbl>
      <w:tblPr>
        <w:tblW w:w="9585" w:type="dxa"/>
        <w:tblInd w:w="-131" w:type="dxa"/>
        <w:tblLayout w:type="fixed"/>
        <w:tblCellMar>
          <w:left w:w="10" w:type="dxa"/>
          <w:right w:w="10" w:type="dxa"/>
        </w:tblCellMar>
        <w:tblLook w:val="04A0"/>
      </w:tblPr>
      <w:tblGrid>
        <w:gridCol w:w="1245"/>
        <w:gridCol w:w="1552"/>
        <w:gridCol w:w="2303"/>
        <w:gridCol w:w="2310"/>
        <w:gridCol w:w="2175"/>
      </w:tblGrid>
      <w:tr w:rsidR="00B52DE3">
        <w:trPr>
          <w:trHeight w:hRule="exact" w:val="611"/>
        </w:trPr>
        <w:tc>
          <w:tcPr>
            <w:tcW w:w="1245" w:type="dxa"/>
            <w:tcBorders>
              <w:top w:val="single" w:sz="4" w:space="0" w:color="000000"/>
              <w:lef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 xml:space="preserve">№ </w:t>
            </w:r>
            <w:proofErr w:type="spellStart"/>
            <w:r>
              <w:rPr>
                <w:rFonts w:ascii="Times New Roman" w:eastAsia="Times New Roman" w:hAnsi="Times New Roman" w:cs="Times New Roman"/>
                <w:bCs/>
                <w:spacing w:val="4"/>
                <w:lang w:bidi="ru-RU"/>
              </w:rPr>
              <w:t>п</w:t>
            </w:r>
            <w:proofErr w:type="spellEnd"/>
            <w:r>
              <w:rPr>
                <w:rFonts w:ascii="Times New Roman" w:eastAsia="Times New Roman" w:hAnsi="Times New Roman" w:cs="Times New Roman"/>
                <w:bCs/>
                <w:spacing w:val="4"/>
                <w:lang w:bidi="ru-RU"/>
              </w:rPr>
              <w:t>/</w:t>
            </w:r>
            <w:proofErr w:type="spellStart"/>
            <w:r>
              <w:rPr>
                <w:rFonts w:ascii="Times New Roman" w:eastAsia="Times New Roman" w:hAnsi="Times New Roman" w:cs="Times New Roman"/>
                <w:bCs/>
                <w:spacing w:val="4"/>
                <w:lang w:bidi="ru-RU"/>
              </w:rPr>
              <w:t>п</w:t>
            </w:r>
            <w:proofErr w:type="spellEnd"/>
          </w:p>
        </w:tc>
        <w:tc>
          <w:tcPr>
            <w:tcW w:w="1552" w:type="dxa"/>
            <w:vMerge w:val="restart"/>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Муниципальное образование</w:t>
            </w:r>
          </w:p>
        </w:tc>
        <w:tc>
          <w:tcPr>
            <w:tcW w:w="6788" w:type="dxa"/>
            <w:gridSpan w:val="3"/>
            <w:tcBorders>
              <w:top w:val="single" w:sz="4" w:space="0" w:color="000000"/>
              <w:left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Финансовые средства, выделенные на мероприятия</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по реконструкции систем оповещении (млн. руб.)</w:t>
            </w:r>
          </w:p>
        </w:tc>
      </w:tr>
      <w:tr w:rsidR="00B52DE3">
        <w:trPr>
          <w:trHeight w:hRule="exact" w:val="306"/>
        </w:trPr>
        <w:tc>
          <w:tcPr>
            <w:tcW w:w="1245" w:type="dxa"/>
            <w:tcBorders>
              <w:left w:val="single" w:sz="4" w:space="0" w:color="000000"/>
              <w:bottom w:val="single" w:sz="4" w:space="0" w:color="000000"/>
            </w:tcBorders>
            <w:shd w:val="clear" w:color="auto" w:fill="FFFFFF"/>
          </w:tcPr>
          <w:p w:rsidR="00B52DE3" w:rsidRDefault="00B52DE3">
            <w:pPr>
              <w:widowControl w:val="0"/>
              <w:spacing w:after="0" w:line="240" w:lineRule="auto"/>
              <w:jc w:val="center"/>
              <w:rPr>
                <w:rFonts w:ascii="Times New Roman" w:hAnsi="Times New Roman" w:cs="Times New Roman"/>
              </w:rPr>
            </w:pPr>
          </w:p>
        </w:tc>
        <w:tc>
          <w:tcPr>
            <w:tcW w:w="1552" w:type="dxa"/>
            <w:vMerge/>
            <w:tcBorders>
              <w:left w:val="single" w:sz="4" w:space="0" w:color="000000"/>
              <w:bottom w:val="single" w:sz="4" w:space="0" w:color="000000"/>
            </w:tcBorders>
            <w:shd w:val="clear" w:color="auto" w:fill="FFFFFF"/>
            <w:vAlign w:val="center"/>
          </w:tcPr>
          <w:p w:rsidR="00B52DE3" w:rsidRDefault="00B52DE3"/>
        </w:tc>
        <w:tc>
          <w:tcPr>
            <w:tcW w:w="2303" w:type="dxa"/>
            <w:tcBorders>
              <w:top w:val="single" w:sz="4" w:space="0" w:color="000000"/>
              <w:lef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2024 г.</w:t>
            </w:r>
          </w:p>
        </w:tc>
        <w:tc>
          <w:tcPr>
            <w:tcW w:w="2310" w:type="dxa"/>
            <w:tcBorders>
              <w:top w:val="single" w:sz="4" w:space="0" w:color="000000"/>
              <w:left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2025 г.</w:t>
            </w:r>
          </w:p>
        </w:tc>
        <w:tc>
          <w:tcPr>
            <w:tcW w:w="2175" w:type="dxa"/>
            <w:tcBorders>
              <w:top w:val="single" w:sz="4" w:space="0" w:color="000000"/>
              <w:left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2026 г.</w:t>
            </w:r>
          </w:p>
        </w:tc>
      </w:tr>
      <w:tr w:rsidR="00B52DE3">
        <w:trPr>
          <w:trHeight w:hRule="exact" w:val="306"/>
        </w:trPr>
        <w:tc>
          <w:tcPr>
            <w:tcW w:w="1245" w:type="dxa"/>
            <w:tcBorders>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w:t>
            </w:r>
          </w:p>
        </w:tc>
        <w:tc>
          <w:tcPr>
            <w:tcW w:w="1552" w:type="dxa"/>
            <w:tcBorders>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2</w:t>
            </w:r>
          </w:p>
        </w:tc>
        <w:tc>
          <w:tcPr>
            <w:tcW w:w="2303" w:type="dxa"/>
            <w:tcBorders>
              <w:top w:val="single" w:sz="4" w:space="0" w:color="000000"/>
              <w:lef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5</w:t>
            </w:r>
          </w:p>
        </w:tc>
        <w:tc>
          <w:tcPr>
            <w:tcW w:w="2310" w:type="dxa"/>
            <w:tcBorders>
              <w:top w:val="single" w:sz="4" w:space="0" w:color="000000"/>
              <w:left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6</w:t>
            </w:r>
          </w:p>
        </w:tc>
        <w:tc>
          <w:tcPr>
            <w:tcW w:w="2175" w:type="dxa"/>
            <w:tcBorders>
              <w:top w:val="single" w:sz="4" w:space="0" w:color="000000"/>
              <w:left w:val="single" w:sz="4" w:space="0" w:color="000000"/>
              <w:right w:val="single" w:sz="4" w:space="0" w:color="000000"/>
            </w:tcBorders>
            <w:shd w:val="clear" w:color="auto" w:fill="FFFFFF"/>
            <w:vAlign w:val="center"/>
          </w:tcPr>
          <w:p w:rsidR="00B52DE3" w:rsidRDefault="00B52DE3">
            <w:pPr>
              <w:widowControl w:val="0"/>
              <w:spacing w:after="0" w:line="240" w:lineRule="auto"/>
              <w:jc w:val="center"/>
              <w:rPr>
                <w:rFonts w:ascii="Times New Roman" w:hAnsi="Times New Roman" w:cs="Times New Roman"/>
              </w:rPr>
            </w:pPr>
          </w:p>
        </w:tc>
      </w:tr>
      <w:tr w:rsidR="00B52DE3">
        <w:trPr>
          <w:trHeight w:val="413"/>
        </w:trPr>
        <w:tc>
          <w:tcPr>
            <w:tcW w:w="1245" w:type="dxa"/>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c>
          <w:tcPr>
            <w:tcW w:w="1552"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Уссурийский городской округ</w:t>
            </w:r>
          </w:p>
        </w:tc>
        <w:tc>
          <w:tcPr>
            <w:tcW w:w="23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23,0</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2175"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r>
    </w:tbl>
    <w:p w:rsidR="00B52DE3" w:rsidRDefault="00B52DE3">
      <w:pPr>
        <w:widowControl w:val="0"/>
        <w:tabs>
          <w:tab w:val="right" w:leader="underscore" w:pos="4484"/>
          <w:tab w:val="left" w:pos="4556"/>
          <w:tab w:val="left" w:leader="underscore" w:pos="9145"/>
        </w:tabs>
        <w:spacing w:after="0" w:line="240" w:lineRule="auto"/>
        <w:rPr>
          <w:rFonts w:ascii="Times New Roman" w:hAnsi="Times New Roman" w:cs="Times New Roman"/>
          <w:b/>
          <w:bCs/>
          <w:spacing w:val="-3"/>
          <w:sz w:val="28"/>
          <w:szCs w:val="24"/>
        </w:rPr>
      </w:pP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pacing w:val="-3"/>
          <w:lang w:bidi="ru-RU"/>
        </w:rPr>
        <w:tab/>
      </w:r>
    </w:p>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b/>
          <w:spacing w:val="-3"/>
          <w:sz w:val="28"/>
          <w:lang w:bidi="ru-RU"/>
        </w:rPr>
        <w:t>Показатели создания локальных систем оповещения в районах размещения опасных производственных объектов</w:t>
      </w:r>
    </w:p>
    <w:p w:rsidR="00B52DE3" w:rsidRDefault="00B52DE3">
      <w:pPr>
        <w:widowControl w:val="0"/>
        <w:spacing w:after="0" w:line="240" w:lineRule="auto"/>
        <w:ind w:firstLine="709"/>
        <w:jc w:val="center"/>
        <w:rPr>
          <w:rFonts w:ascii="Times New Roman" w:hAnsi="Times New Roman" w:cs="Times New Roman"/>
          <w:b/>
          <w:bCs/>
          <w:spacing w:val="-3"/>
          <w:sz w:val="24"/>
        </w:rPr>
      </w:pPr>
    </w:p>
    <w:tbl>
      <w:tblPr>
        <w:tblW w:w="9845" w:type="dxa"/>
        <w:tblInd w:w="-103" w:type="dxa"/>
        <w:tblLayout w:type="fixed"/>
        <w:tblLook w:val="04A0"/>
      </w:tblPr>
      <w:tblGrid>
        <w:gridCol w:w="1285"/>
        <w:gridCol w:w="386"/>
        <w:gridCol w:w="273"/>
        <w:gridCol w:w="423"/>
        <w:gridCol w:w="430"/>
        <w:gridCol w:w="436"/>
        <w:gridCol w:w="410"/>
        <w:gridCol w:w="425"/>
        <w:gridCol w:w="441"/>
        <w:gridCol w:w="281"/>
        <w:gridCol w:w="429"/>
        <w:gridCol w:w="569"/>
        <w:gridCol w:w="431"/>
        <w:gridCol w:w="273"/>
        <w:gridCol w:w="435"/>
        <w:gridCol w:w="429"/>
        <w:gridCol w:w="420"/>
        <w:gridCol w:w="663"/>
        <w:gridCol w:w="846"/>
        <w:gridCol w:w="560"/>
      </w:tblGrid>
      <w:tr w:rsidR="00B52DE3">
        <w:tc>
          <w:tcPr>
            <w:tcW w:w="12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proofErr w:type="spellStart"/>
            <w:r>
              <w:rPr>
                <w:rFonts w:ascii="Times New Roman" w:eastAsia="Times New Roman" w:hAnsi="Times New Roman" w:cs="Times New Roman"/>
                <w:bCs/>
                <w:spacing w:val="-3"/>
                <w:lang w:bidi="ru-RU"/>
              </w:rPr>
              <w:t>Населен-ные</w:t>
            </w:r>
            <w:proofErr w:type="spellEnd"/>
            <w:r>
              <w:rPr>
                <w:rFonts w:ascii="Times New Roman" w:eastAsia="Times New Roman" w:hAnsi="Times New Roman" w:cs="Times New Roman"/>
                <w:bCs/>
                <w:spacing w:val="-3"/>
                <w:lang w:bidi="ru-RU"/>
              </w:rPr>
              <w:t xml:space="preserve"> пункты</w:t>
            </w:r>
          </w:p>
        </w:tc>
        <w:tc>
          <w:tcPr>
            <w:tcW w:w="1946" w:type="dxa"/>
            <w:gridSpan w:val="5"/>
            <w:vMerge w:val="restart"/>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Количество ОПО</w:t>
            </w:r>
          </w:p>
        </w:tc>
        <w:tc>
          <w:tcPr>
            <w:tcW w:w="4543" w:type="dxa"/>
            <w:gridSpan w:val="11"/>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Количество ЛСО</w:t>
            </w:r>
          </w:p>
        </w:tc>
        <w:tc>
          <w:tcPr>
            <w:tcW w:w="2069" w:type="dxa"/>
            <w:gridSpan w:val="3"/>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Население</w:t>
            </w:r>
          </w:p>
        </w:tc>
      </w:tr>
      <w:tr w:rsidR="00B52DE3">
        <w:trPr>
          <w:trHeight w:val="253"/>
        </w:trPr>
        <w:tc>
          <w:tcPr>
            <w:tcW w:w="1284"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rFonts w:ascii="Times New Roman" w:hAnsi="Times New Roman"/>
              </w:rPr>
            </w:pPr>
          </w:p>
        </w:tc>
        <w:tc>
          <w:tcPr>
            <w:tcW w:w="1946" w:type="dxa"/>
            <w:gridSpan w:val="5"/>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rFonts w:ascii="Times New Roman" w:hAnsi="Times New Roman"/>
              </w:rPr>
            </w:pPr>
          </w:p>
        </w:tc>
        <w:tc>
          <w:tcPr>
            <w:tcW w:w="2555" w:type="dxa"/>
            <w:gridSpan w:val="6"/>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Введено в эксплуатацию</w:t>
            </w:r>
          </w:p>
        </w:tc>
        <w:tc>
          <w:tcPr>
            <w:tcW w:w="1988" w:type="dxa"/>
            <w:gridSpan w:val="5"/>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Сопряженных с МСО (РСО)</w:t>
            </w:r>
          </w:p>
        </w:tc>
        <w:tc>
          <w:tcPr>
            <w:tcW w:w="663" w:type="dxa"/>
            <w:vMerge w:val="restart"/>
            <w:tcBorders>
              <w:top w:val="single" w:sz="4" w:space="0" w:color="000000"/>
              <w:left w:val="single" w:sz="4" w:space="0" w:color="000000"/>
              <w:bottom w:val="single" w:sz="4" w:space="0" w:color="000000"/>
              <w:right w:val="single" w:sz="4" w:space="0" w:color="000000"/>
            </w:tcBorders>
            <w:shd w:val="clear" w:color="auto" w:fill="FFFFFF"/>
            <w:textDirection w:val="btL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Проживающее в зоне действия ЛСО (тыс.чел.)</w:t>
            </w: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Оповещаемое средствами ЛСО</w:t>
            </w:r>
          </w:p>
        </w:tc>
      </w:tr>
      <w:tr w:rsidR="00B52DE3">
        <w:trPr>
          <w:cantSplit/>
          <w:trHeight w:val="1899"/>
        </w:trPr>
        <w:tc>
          <w:tcPr>
            <w:tcW w:w="1284"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rFonts w:ascii="Times New Roman" w:hAnsi="Times New Roman"/>
              </w:rPr>
            </w:pPr>
          </w:p>
        </w:tc>
        <w:tc>
          <w:tcPr>
            <w:tcW w:w="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Ф</w:t>
            </w:r>
          </w:p>
        </w:tc>
        <w:tc>
          <w:tcPr>
            <w:tcW w:w="2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С</w:t>
            </w:r>
          </w:p>
        </w:tc>
        <w:tc>
          <w:tcPr>
            <w:tcW w:w="4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М</w:t>
            </w:r>
          </w:p>
        </w:tc>
        <w:tc>
          <w:tcPr>
            <w:tcW w:w="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Ч</w:t>
            </w:r>
          </w:p>
        </w:tc>
        <w:tc>
          <w:tcPr>
            <w:tcW w:w="436" w:type="dxa"/>
            <w:tcBorders>
              <w:top w:val="single" w:sz="4" w:space="0" w:color="000000"/>
              <w:left w:val="single" w:sz="4" w:space="0" w:color="000000"/>
              <w:bottom w:val="single" w:sz="4" w:space="0" w:color="000000"/>
              <w:right w:val="single" w:sz="4" w:space="0" w:color="000000"/>
            </w:tcBorders>
            <w:shd w:val="clear" w:color="auto" w:fill="FFFFFF"/>
            <w:textDirection w:val="btLr"/>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всего</w:t>
            </w:r>
          </w:p>
        </w:tc>
        <w:tc>
          <w:tcPr>
            <w:tcW w:w="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Ф</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С</w:t>
            </w:r>
          </w:p>
        </w:tc>
        <w:tc>
          <w:tcPr>
            <w:tcW w:w="4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М</w:t>
            </w:r>
          </w:p>
        </w:tc>
        <w:tc>
          <w:tcPr>
            <w:tcW w:w="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Ч</w:t>
            </w:r>
          </w:p>
        </w:tc>
        <w:tc>
          <w:tcPr>
            <w:tcW w:w="429" w:type="dxa"/>
            <w:tcBorders>
              <w:top w:val="single" w:sz="4" w:space="0" w:color="000000"/>
              <w:left w:val="single" w:sz="4" w:space="0" w:color="000000"/>
              <w:bottom w:val="single" w:sz="4" w:space="0" w:color="000000"/>
              <w:right w:val="single" w:sz="4" w:space="0" w:color="000000"/>
            </w:tcBorders>
            <w:shd w:val="clear" w:color="auto" w:fill="FFFFFF"/>
            <w:textDirection w:val="btLr"/>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всего</w:t>
            </w:r>
          </w:p>
        </w:tc>
        <w:tc>
          <w:tcPr>
            <w:tcW w:w="56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widowControl w:val="0"/>
              <w:spacing w:after="0" w:line="240" w:lineRule="auto"/>
              <w:jc w:val="center"/>
              <w:rPr>
                <w:rFonts w:ascii="Times New Roman" w:hAnsi="Times New Roman" w:cs="Times New Roman"/>
                <w:bCs/>
                <w:spacing w:val="-3"/>
              </w:rPr>
            </w:pPr>
          </w:p>
          <w:p w:rsidR="00B52DE3" w:rsidRDefault="00B52DE3">
            <w:pPr>
              <w:widowControl w:val="0"/>
              <w:spacing w:after="0" w:line="240" w:lineRule="auto"/>
              <w:jc w:val="center"/>
              <w:rPr>
                <w:rFonts w:ascii="Times New Roman" w:hAnsi="Times New Roman" w:cs="Times New Roman"/>
                <w:bCs/>
                <w:spacing w:val="-3"/>
              </w:rPr>
            </w:pPr>
          </w:p>
          <w:p w:rsidR="00B52DE3" w:rsidRDefault="00B52DE3">
            <w:pPr>
              <w:widowControl w:val="0"/>
              <w:spacing w:after="0" w:line="240" w:lineRule="auto"/>
              <w:jc w:val="center"/>
              <w:rPr>
                <w:rFonts w:ascii="Times New Roman" w:hAnsi="Times New Roman" w:cs="Times New Roman"/>
                <w:bCs/>
                <w:spacing w:val="-3"/>
              </w:rPr>
            </w:pPr>
          </w:p>
          <w:p w:rsidR="00B52DE3" w:rsidRDefault="00B52DE3">
            <w:pPr>
              <w:widowControl w:val="0"/>
              <w:spacing w:after="0" w:line="240" w:lineRule="auto"/>
              <w:jc w:val="center"/>
              <w:rPr>
                <w:rFonts w:ascii="Times New Roman" w:hAnsi="Times New Roman" w:cs="Times New Roman"/>
                <w:bCs/>
                <w:spacing w:val="-3"/>
              </w:rPr>
            </w:pP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w:t>
            </w:r>
          </w:p>
        </w:tc>
        <w:tc>
          <w:tcPr>
            <w:tcW w:w="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Ф</w:t>
            </w:r>
          </w:p>
        </w:tc>
        <w:tc>
          <w:tcPr>
            <w:tcW w:w="2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С</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М</w:t>
            </w:r>
          </w:p>
        </w:tc>
        <w:tc>
          <w:tcPr>
            <w:tcW w:w="4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Ч</w:t>
            </w:r>
          </w:p>
        </w:tc>
        <w:tc>
          <w:tcPr>
            <w:tcW w:w="420" w:type="dxa"/>
            <w:tcBorders>
              <w:top w:val="single" w:sz="4" w:space="0" w:color="000000"/>
              <w:left w:val="single" w:sz="4" w:space="0" w:color="000000"/>
              <w:bottom w:val="single" w:sz="4" w:space="0" w:color="000000"/>
              <w:right w:val="single" w:sz="4" w:space="0" w:color="000000"/>
            </w:tcBorders>
            <w:shd w:val="clear" w:color="auto" w:fill="FFFFFF"/>
            <w:textDirection w:val="btLr"/>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всего</w:t>
            </w:r>
          </w:p>
        </w:tc>
        <w:tc>
          <w:tcPr>
            <w:tcW w:w="663"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rFonts w:ascii="Times New Roman" w:hAnsi="Times New Roma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тыс. чел</w:t>
            </w:r>
          </w:p>
        </w:tc>
        <w:tc>
          <w:tcPr>
            <w:tcW w:w="5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w:t>
            </w:r>
          </w:p>
        </w:tc>
      </w:tr>
      <w:tr w:rsidR="00B52DE3">
        <w:trPr>
          <w:trHeight w:val="920"/>
        </w:trPr>
        <w:tc>
          <w:tcPr>
            <w:tcW w:w="128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proofErr w:type="spellStart"/>
            <w:r>
              <w:rPr>
                <w:rFonts w:ascii="Times New Roman" w:eastAsia="Times New Roman" w:hAnsi="Times New Roman" w:cs="Times New Roman"/>
                <w:bCs/>
                <w:spacing w:val="-3"/>
                <w:sz w:val="20"/>
                <w:lang w:bidi="ru-RU"/>
              </w:rPr>
              <w:t>Уссурийс-кий</w:t>
            </w:r>
            <w:proofErr w:type="spellEnd"/>
            <w:r>
              <w:rPr>
                <w:rFonts w:ascii="Times New Roman" w:eastAsia="Times New Roman" w:hAnsi="Times New Roman" w:cs="Times New Roman"/>
                <w:bCs/>
                <w:spacing w:val="-3"/>
                <w:sz w:val="20"/>
                <w:lang w:bidi="ru-RU"/>
              </w:rPr>
              <w:t xml:space="preserve"> городской округ</w:t>
            </w:r>
          </w:p>
        </w:tc>
        <w:tc>
          <w:tcPr>
            <w:tcW w:w="38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27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42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w:t>
            </w:r>
          </w:p>
          <w:p w:rsidR="00B52DE3" w:rsidRDefault="00B52DE3">
            <w:pPr>
              <w:widowControl w:val="0"/>
              <w:spacing w:after="0" w:line="240" w:lineRule="auto"/>
              <w:jc w:val="center"/>
              <w:rPr>
                <w:rFonts w:ascii="Times New Roman" w:hAnsi="Times New Roman" w:cs="Times New Roman"/>
                <w:bCs/>
                <w:spacing w:val="-3"/>
                <w:sz w:val="20"/>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2</w:t>
            </w:r>
          </w:p>
          <w:p w:rsidR="00B52DE3" w:rsidRDefault="00B52DE3">
            <w:pPr>
              <w:widowControl w:val="0"/>
              <w:spacing w:after="0" w:line="240" w:lineRule="auto"/>
              <w:jc w:val="center"/>
              <w:rPr>
                <w:rFonts w:ascii="Times New Roman" w:hAnsi="Times New Roman" w:cs="Times New Roman"/>
                <w:bCs/>
                <w:spacing w:val="-3"/>
                <w:sz w:val="20"/>
              </w:rPr>
            </w:pPr>
          </w:p>
        </w:tc>
        <w:tc>
          <w:tcPr>
            <w:tcW w:w="43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3</w:t>
            </w:r>
          </w:p>
          <w:p w:rsidR="00B52DE3" w:rsidRDefault="00B52DE3">
            <w:pPr>
              <w:widowControl w:val="0"/>
              <w:spacing w:after="0" w:line="240" w:lineRule="auto"/>
              <w:jc w:val="center"/>
              <w:rPr>
                <w:rFonts w:ascii="Times New Roman" w:hAnsi="Times New Roman" w:cs="Times New Roman"/>
                <w:bCs/>
                <w:spacing w:val="-3"/>
                <w:sz w:val="20"/>
              </w:rPr>
            </w:pPr>
          </w:p>
        </w:tc>
        <w:tc>
          <w:tcPr>
            <w:tcW w:w="41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44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w:t>
            </w:r>
          </w:p>
        </w:tc>
        <w:tc>
          <w:tcPr>
            <w:tcW w:w="28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2</w:t>
            </w:r>
          </w:p>
          <w:p w:rsidR="00B52DE3" w:rsidRDefault="00B52DE3">
            <w:pPr>
              <w:widowControl w:val="0"/>
              <w:spacing w:after="0" w:line="240" w:lineRule="auto"/>
              <w:jc w:val="center"/>
              <w:rPr>
                <w:rFonts w:ascii="Times New Roman" w:hAnsi="Times New Roman" w:cs="Times New Roman"/>
                <w:bCs/>
                <w:spacing w:val="-3"/>
                <w:sz w:val="20"/>
              </w:rPr>
            </w:pPr>
          </w:p>
        </w:tc>
        <w:tc>
          <w:tcPr>
            <w:tcW w:w="42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3</w:t>
            </w:r>
          </w:p>
        </w:tc>
        <w:tc>
          <w:tcPr>
            <w:tcW w:w="56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100</w:t>
            </w:r>
          </w:p>
        </w:tc>
        <w:tc>
          <w:tcPr>
            <w:tcW w:w="43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27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0</w:t>
            </w:r>
          </w:p>
        </w:tc>
        <w:tc>
          <w:tcPr>
            <w:tcW w:w="42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2</w:t>
            </w:r>
          </w:p>
          <w:p w:rsidR="00B52DE3" w:rsidRDefault="00B52DE3">
            <w:pPr>
              <w:widowControl w:val="0"/>
              <w:spacing w:after="0" w:line="240" w:lineRule="auto"/>
              <w:jc w:val="center"/>
              <w:rPr>
                <w:rFonts w:ascii="Times New Roman" w:hAnsi="Times New Roman" w:cs="Times New Roman"/>
                <w:bCs/>
                <w:spacing w:val="-3"/>
                <w:sz w:val="20"/>
              </w:rPr>
            </w:pPr>
          </w:p>
        </w:tc>
        <w:tc>
          <w:tcPr>
            <w:tcW w:w="42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2</w:t>
            </w:r>
          </w:p>
        </w:tc>
        <w:tc>
          <w:tcPr>
            <w:tcW w:w="66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1,8</w:t>
            </w:r>
          </w:p>
        </w:tc>
        <w:tc>
          <w:tcPr>
            <w:tcW w:w="84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1,8</w:t>
            </w:r>
          </w:p>
        </w:tc>
        <w:tc>
          <w:tcPr>
            <w:tcW w:w="5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100</w:t>
            </w:r>
          </w:p>
        </w:tc>
      </w:tr>
      <w:tr w:rsidR="00B52DE3">
        <w:trPr>
          <w:trHeight w:val="214"/>
        </w:trPr>
        <w:tc>
          <w:tcPr>
            <w:tcW w:w="128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Итого:</w:t>
            </w:r>
          </w:p>
        </w:tc>
        <w:tc>
          <w:tcPr>
            <w:tcW w:w="38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27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42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w:t>
            </w:r>
          </w:p>
          <w:p w:rsidR="00B52DE3" w:rsidRDefault="00B52DE3">
            <w:pPr>
              <w:widowControl w:val="0"/>
              <w:spacing w:after="0" w:line="240" w:lineRule="auto"/>
              <w:jc w:val="center"/>
              <w:rPr>
                <w:rFonts w:ascii="Times New Roman" w:hAnsi="Times New Roman" w:cs="Times New Roman"/>
                <w:bCs/>
                <w:spacing w:val="-3"/>
                <w:sz w:val="20"/>
              </w:rPr>
            </w:pPr>
          </w:p>
        </w:tc>
        <w:tc>
          <w:tcPr>
            <w:tcW w:w="43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2</w:t>
            </w:r>
          </w:p>
          <w:p w:rsidR="00B52DE3" w:rsidRDefault="00B52DE3">
            <w:pPr>
              <w:widowControl w:val="0"/>
              <w:spacing w:after="0" w:line="240" w:lineRule="auto"/>
              <w:jc w:val="center"/>
              <w:rPr>
                <w:rFonts w:ascii="Times New Roman" w:hAnsi="Times New Roman" w:cs="Times New Roman"/>
                <w:bCs/>
                <w:spacing w:val="-3"/>
                <w:sz w:val="20"/>
              </w:rPr>
            </w:pPr>
          </w:p>
        </w:tc>
        <w:tc>
          <w:tcPr>
            <w:tcW w:w="43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3</w:t>
            </w:r>
          </w:p>
          <w:p w:rsidR="00B52DE3" w:rsidRDefault="00B52DE3">
            <w:pPr>
              <w:widowControl w:val="0"/>
              <w:spacing w:after="0" w:line="240" w:lineRule="auto"/>
              <w:jc w:val="center"/>
              <w:rPr>
                <w:rFonts w:ascii="Times New Roman" w:hAnsi="Times New Roman" w:cs="Times New Roman"/>
                <w:bCs/>
                <w:spacing w:val="-3"/>
                <w:sz w:val="20"/>
              </w:rPr>
            </w:pPr>
          </w:p>
        </w:tc>
        <w:tc>
          <w:tcPr>
            <w:tcW w:w="41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44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w:t>
            </w:r>
          </w:p>
        </w:tc>
        <w:tc>
          <w:tcPr>
            <w:tcW w:w="28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2</w:t>
            </w:r>
          </w:p>
          <w:p w:rsidR="00B52DE3" w:rsidRDefault="00B52DE3">
            <w:pPr>
              <w:widowControl w:val="0"/>
              <w:spacing w:after="0" w:line="240" w:lineRule="auto"/>
              <w:jc w:val="center"/>
              <w:rPr>
                <w:rFonts w:ascii="Times New Roman" w:hAnsi="Times New Roman" w:cs="Times New Roman"/>
                <w:bCs/>
                <w:spacing w:val="-3"/>
                <w:sz w:val="20"/>
              </w:rPr>
            </w:pPr>
          </w:p>
        </w:tc>
        <w:tc>
          <w:tcPr>
            <w:tcW w:w="42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3</w:t>
            </w:r>
          </w:p>
        </w:tc>
        <w:tc>
          <w:tcPr>
            <w:tcW w:w="56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100</w:t>
            </w:r>
          </w:p>
        </w:tc>
        <w:tc>
          <w:tcPr>
            <w:tcW w:w="431"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27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w:t>
            </w:r>
          </w:p>
          <w:p w:rsidR="00B52DE3" w:rsidRDefault="00B52DE3">
            <w:pPr>
              <w:widowControl w:val="0"/>
              <w:spacing w:after="0" w:line="240" w:lineRule="auto"/>
              <w:jc w:val="center"/>
              <w:rPr>
                <w:rFonts w:ascii="Times New Roman" w:hAnsi="Times New Roman" w:cs="Times New Roman"/>
                <w:bCs/>
                <w:spacing w:val="-3"/>
                <w:sz w:val="20"/>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0</w:t>
            </w:r>
          </w:p>
        </w:tc>
        <w:tc>
          <w:tcPr>
            <w:tcW w:w="42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2</w:t>
            </w:r>
          </w:p>
          <w:p w:rsidR="00B52DE3" w:rsidRDefault="00B52DE3">
            <w:pPr>
              <w:widowControl w:val="0"/>
              <w:spacing w:after="0" w:line="240" w:lineRule="auto"/>
              <w:jc w:val="center"/>
              <w:rPr>
                <w:rFonts w:ascii="Times New Roman" w:hAnsi="Times New Roman" w:cs="Times New Roman"/>
                <w:bCs/>
                <w:spacing w:val="-3"/>
                <w:sz w:val="20"/>
              </w:rPr>
            </w:pPr>
          </w:p>
        </w:tc>
        <w:tc>
          <w:tcPr>
            <w:tcW w:w="42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2</w:t>
            </w:r>
          </w:p>
        </w:tc>
        <w:tc>
          <w:tcPr>
            <w:tcW w:w="66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1,8</w:t>
            </w:r>
          </w:p>
        </w:tc>
        <w:tc>
          <w:tcPr>
            <w:tcW w:w="84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1,8</w:t>
            </w:r>
          </w:p>
        </w:tc>
        <w:tc>
          <w:tcPr>
            <w:tcW w:w="56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sz w:val="20"/>
                <w:lang w:bidi="ru-RU"/>
              </w:rPr>
              <w:t>100</w:t>
            </w:r>
          </w:p>
        </w:tc>
      </w:tr>
    </w:tbl>
    <w:p w:rsidR="00B52DE3" w:rsidRDefault="00B52DE3">
      <w:pPr>
        <w:widowControl w:val="0"/>
        <w:spacing w:after="0" w:line="240" w:lineRule="auto"/>
        <w:ind w:firstLine="709"/>
        <w:jc w:val="right"/>
        <w:rPr>
          <w:rFonts w:ascii="Times New Roman" w:hAnsi="Times New Roman" w:cs="Times New Roman"/>
          <w:i/>
          <w:sz w:val="24"/>
          <w:szCs w:val="24"/>
        </w:rPr>
      </w:pP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bCs/>
          <w:sz w:val="28"/>
          <w:szCs w:val="24"/>
        </w:rPr>
        <w:t>Показатели наличия резерва технических средств оповещения населения</w:t>
      </w:r>
    </w:p>
    <w:p w:rsidR="00B52DE3" w:rsidRDefault="00B52DE3">
      <w:pPr>
        <w:widowControl w:val="0"/>
        <w:spacing w:after="0" w:line="240" w:lineRule="auto"/>
        <w:jc w:val="center"/>
        <w:rPr>
          <w:rFonts w:ascii="Times New Roman" w:hAnsi="Times New Roman" w:cs="Times New Roman"/>
          <w:sz w:val="24"/>
          <w:szCs w:val="24"/>
        </w:rPr>
      </w:pPr>
    </w:p>
    <w:tbl>
      <w:tblPr>
        <w:tblW w:w="9854" w:type="dxa"/>
        <w:tblInd w:w="-113" w:type="dxa"/>
        <w:tblLayout w:type="fixed"/>
        <w:tblLook w:val="04A0"/>
      </w:tblPr>
      <w:tblGrid>
        <w:gridCol w:w="4928"/>
        <w:gridCol w:w="4926"/>
      </w:tblGrid>
      <w:tr w:rsidR="00B52DE3">
        <w:tc>
          <w:tcPr>
            <w:tcW w:w="49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Муниципальное образование</w:t>
            </w:r>
          </w:p>
        </w:tc>
        <w:tc>
          <w:tcPr>
            <w:tcW w:w="492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 наличия резерва технических средств оповещения от потребности</w:t>
            </w:r>
          </w:p>
        </w:tc>
      </w:tr>
      <w:tr w:rsidR="00B52DE3">
        <w:tc>
          <w:tcPr>
            <w:tcW w:w="49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Уссурийский городской округ</w:t>
            </w:r>
          </w:p>
        </w:tc>
        <w:tc>
          <w:tcPr>
            <w:tcW w:w="492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100</w:t>
            </w:r>
          </w:p>
        </w:tc>
      </w:tr>
    </w:tbl>
    <w:p w:rsidR="00B52DE3" w:rsidRDefault="00B52DE3">
      <w:pPr>
        <w:widowControl w:val="0"/>
        <w:spacing w:after="0" w:line="240" w:lineRule="auto"/>
        <w:ind w:firstLine="567"/>
        <w:jc w:val="center"/>
        <w:rPr>
          <w:rFonts w:ascii="Times New Roman" w:hAnsi="Times New Roman" w:cs="Times New Roman"/>
          <w:sz w:val="24"/>
          <w:szCs w:val="24"/>
        </w:rPr>
      </w:pPr>
    </w:p>
    <w:p w:rsidR="00B52DE3" w:rsidRDefault="00B52DE3">
      <w:pPr>
        <w:widowControl w:val="0"/>
        <w:spacing w:after="0" w:line="240" w:lineRule="auto"/>
        <w:ind w:firstLine="567"/>
        <w:jc w:val="center"/>
        <w:rPr>
          <w:rFonts w:ascii="Times New Roman" w:hAnsi="Times New Roman" w:cs="Times New Roman"/>
        </w:rPr>
      </w:pPr>
    </w:p>
    <w:p w:rsidR="00B52DE3" w:rsidRDefault="00B52DE3">
      <w:pPr>
        <w:widowControl w:val="0"/>
        <w:spacing w:after="0" w:line="240" w:lineRule="auto"/>
        <w:ind w:firstLine="567"/>
        <w:jc w:val="center"/>
        <w:rPr>
          <w:rFonts w:ascii="Times New Roman" w:eastAsia="Times New Roman" w:hAnsi="Times New Roman" w:cs="Times New Roman"/>
          <w:b/>
          <w:bCs/>
          <w:sz w:val="28"/>
          <w:szCs w:val="28"/>
        </w:rPr>
      </w:pPr>
    </w:p>
    <w:p w:rsidR="00B52DE3" w:rsidRDefault="00DE73E3">
      <w:pPr>
        <w:widowControl w:val="0"/>
        <w:spacing w:after="0" w:line="240" w:lineRule="auto"/>
        <w:ind w:firstLine="567"/>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4"/>
        </w:rPr>
        <w:t>Оборудование ЕДДС Уссурийского городского округа</w:t>
      </w:r>
    </w:p>
    <w:p w:rsidR="00B52DE3" w:rsidRDefault="00B52DE3">
      <w:pPr>
        <w:widowControl w:val="0"/>
        <w:spacing w:after="0" w:line="240" w:lineRule="auto"/>
        <w:ind w:firstLine="567"/>
        <w:jc w:val="center"/>
        <w:rPr>
          <w:rFonts w:ascii="Times New Roman" w:hAnsi="Times New Roman" w:cs="Times New Roman"/>
          <w:sz w:val="24"/>
          <w:szCs w:val="24"/>
        </w:rPr>
      </w:pPr>
    </w:p>
    <w:tbl>
      <w:tblPr>
        <w:tblW w:w="9889" w:type="dxa"/>
        <w:tblInd w:w="-113" w:type="dxa"/>
        <w:tblLayout w:type="fixed"/>
        <w:tblLook w:val="04A0"/>
      </w:tblPr>
      <w:tblGrid>
        <w:gridCol w:w="1456"/>
        <w:gridCol w:w="1752"/>
        <w:gridCol w:w="1624"/>
        <w:gridCol w:w="1373"/>
        <w:gridCol w:w="1132"/>
        <w:gridCol w:w="1417"/>
        <w:gridCol w:w="1135"/>
      </w:tblGrid>
      <w:tr w:rsidR="00B52DE3">
        <w:tc>
          <w:tcPr>
            <w:tcW w:w="14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диспетчеров в смене</w:t>
            </w:r>
          </w:p>
        </w:tc>
        <w:tc>
          <w:tcPr>
            <w:tcW w:w="1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компьютерных</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АРМ</w:t>
            </w:r>
          </w:p>
        </w:tc>
        <w:tc>
          <w:tcPr>
            <w:tcW w:w="16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 xml:space="preserve">Локальные </w:t>
            </w:r>
            <w:proofErr w:type="spellStart"/>
            <w:r>
              <w:rPr>
                <w:rFonts w:ascii="Times New Roman" w:eastAsia="Times New Roman" w:hAnsi="Times New Roman" w:cs="Times New Roman"/>
              </w:rPr>
              <w:t>вычислитель-ные</w:t>
            </w:r>
            <w:proofErr w:type="spellEnd"/>
            <w:r>
              <w:rPr>
                <w:rFonts w:ascii="Times New Roman" w:eastAsia="Times New Roman" w:hAnsi="Times New Roman" w:cs="Times New Roman"/>
              </w:rPr>
              <w:t xml:space="preserve"> сети</w:t>
            </w:r>
          </w:p>
        </w:tc>
        <w:tc>
          <w:tcPr>
            <w:tcW w:w="1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ind w:left="-155" w:right="-108"/>
              <w:jc w:val="center"/>
              <w:rPr>
                <w:rFonts w:ascii="Times New Roman" w:hAnsi="Times New Roman" w:cs="Times New Roman"/>
              </w:rPr>
            </w:pPr>
            <w:r>
              <w:rPr>
                <w:rFonts w:ascii="Times New Roman" w:eastAsia="Times New Roman" w:hAnsi="Times New Roman" w:cs="Times New Roman"/>
              </w:rPr>
              <w:t>Телефонные сети</w:t>
            </w:r>
          </w:p>
        </w:tc>
        <w:tc>
          <w:tcPr>
            <w:tcW w:w="11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Внешние каналы передачи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Количество рабочих мест</w:t>
            </w:r>
          </w:p>
        </w:tc>
        <w:tc>
          <w:tcPr>
            <w:tcW w:w="1135" w:type="dxa"/>
            <w:tcBorders>
              <w:top w:val="single" w:sz="4" w:space="0" w:color="000000"/>
              <w:left w:val="single" w:sz="4" w:space="0" w:color="000000"/>
              <w:bottom w:val="single" w:sz="4" w:space="0" w:color="000000"/>
              <w:right w:val="single" w:sz="4" w:space="0" w:color="000000"/>
            </w:tcBorders>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 xml:space="preserve">  Видео-стена</w:t>
            </w:r>
          </w:p>
        </w:tc>
      </w:tr>
      <w:tr w:rsidR="00B52DE3">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3</w:t>
            </w:r>
          </w:p>
        </w:tc>
        <w:tc>
          <w:tcPr>
            <w:tcW w:w="175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4</w:t>
            </w:r>
          </w:p>
        </w:tc>
        <w:tc>
          <w:tcPr>
            <w:tcW w:w="1624"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c>
          <w:tcPr>
            <w:tcW w:w="137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24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4</w:t>
            </w:r>
          </w:p>
        </w:tc>
        <w:tc>
          <w:tcPr>
            <w:tcW w:w="1135" w:type="dxa"/>
            <w:tcBorders>
              <w:top w:val="single" w:sz="4" w:space="0" w:color="000000"/>
              <w:left w:val="single" w:sz="4" w:space="0" w:color="000000"/>
              <w:bottom w:val="single" w:sz="4" w:space="0" w:color="000000"/>
              <w:right w:val="single" w:sz="4" w:space="0" w:color="000000"/>
            </w:tcBorders>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r>
    </w:tbl>
    <w:p w:rsidR="00B52DE3" w:rsidRDefault="00B52DE3">
      <w:pPr>
        <w:widowControl w:val="0"/>
        <w:spacing w:after="0" w:line="220" w:lineRule="exact"/>
        <w:rPr>
          <w:rFonts w:ascii="Times New Roman" w:hAnsi="Times New Roman" w:cs="Times New Roman"/>
          <w:i/>
          <w:iCs/>
          <w:spacing w:val="-3"/>
          <w:sz w:val="24"/>
          <w:szCs w:val="24"/>
        </w:rPr>
      </w:pPr>
    </w:p>
    <w:p w:rsidR="00B52DE3" w:rsidRDefault="00B52DE3">
      <w:pPr>
        <w:widowControl w:val="0"/>
        <w:spacing w:after="63" w:line="220" w:lineRule="exact"/>
        <w:rPr>
          <w:rFonts w:ascii="Times New Roman" w:hAnsi="Times New Roman" w:cs="Times New Roman"/>
          <w:b/>
          <w:spacing w:val="-3"/>
          <w:sz w:val="28"/>
          <w:szCs w:val="24"/>
        </w:rPr>
      </w:pPr>
    </w:p>
    <w:p w:rsidR="00B52DE3" w:rsidRDefault="00DE73E3">
      <w:pPr>
        <w:widowControl w:val="0"/>
        <w:spacing w:after="63" w:line="220" w:lineRule="exact"/>
        <w:ind w:left="460" w:firstLine="249"/>
        <w:jc w:val="center"/>
        <w:rPr>
          <w:rFonts w:ascii="Times New Roman" w:hAnsi="Times New Roman" w:cs="Times New Roman"/>
        </w:rPr>
      </w:pPr>
      <w:r>
        <w:rPr>
          <w:rFonts w:ascii="Times New Roman" w:eastAsia="Times New Roman" w:hAnsi="Times New Roman" w:cs="Times New Roman"/>
          <w:b/>
          <w:spacing w:val="-3"/>
          <w:sz w:val="28"/>
          <w:szCs w:val="24"/>
        </w:rPr>
        <w:t>Сведения о состоянии разработки и утверждения паспортов безопасности потенциально опасных объектов</w:t>
      </w:r>
    </w:p>
    <w:p w:rsidR="00B52DE3" w:rsidRDefault="00B52DE3">
      <w:pPr>
        <w:widowControl w:val="0"/>
        <w:spacing w:after="63" w:line="220" w:lineRule="exact"/>
        <w:ind w:left="460" w:firstLine="249"/>
        <w:jc w:val="center"/>
        <w:rPr>
          <w:rFonts w:ascii="Times New Roman" w:hAnsi="Times New Roman" w:cs="Times New Roman"/>
          <w:bCs/>
          <w:spacing w:val="-3"/>
        </w:rPr>
      </w:pPr>
    </w:p>
    <w:tbl>
      <w:tblPr>
        <w:tblW w:w="9638" w:type="dxa"/>
        <w:tblInd w:w="-15" w:type="dxa"/>
        <w:tblLayout w:type="fixed"/>
        <w:tblCellMar>
          <w:left w:w="10" w:type="dxa"/>
          <w:right w:w="10" w:type="dxa"/>
        </w:tblCellMar>
        <w:tblLook w:val="04A0"/>
      </w:tblPr>
      <w:tblGrid>
        <w:gridCol w:w="851"/>
        <w:gridCol w:w="1853"/>
        <w:gridCol w:w="704"/>
        <w:gridCol w:w="852"/>
        <w:gridCol w:w="832"/>
        <w:gridCol w:w="984"/>
        <w:gridCol w:w="879"/>
        <w:gridCol w:w="850"/>
        <w:gridCol w:w="1833"/>
      </w:tblGrid>
      <w:tr w:rsidR="00B52DE3">
        <w:trPr>
          <w:trHeight w:hRule="exact" w:val="509"/>
        </w:trPr>
        <w:tc>
          <w:tcPr>
            <w:tcW w:w="850" w:type="dxa"/>
            <w:vMerge w:val="restart"/>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 xml:space="preserve">№ </w:t>
            </w:r>
            <w:proofErr w:type="spellStart"/>
            <w:r>
              <w:rPr>
                <w:rFonts w:ascii="Times New Roman" w:eastAsia="Times New Roman" w:hAnsi="Times New Roman" w:cs="Times New Roman"/>
                <w:bCs/>
                <w:spacing w:val="4"/>
                <w:lang w:bidi="ru-RU"/>
              </w:rPr>
              <w:t>п</w:t>
            </w:r>
            <w:proofErr w:type="spellEnd"/>
            <w:r>
              <w:rPr>
                <w:rFonts w:ascii="Times New Roman" w:eastAsia="Times New Roman" w:hAnsi="Times New Roman" w:cs="Times New Roman"/>
                <w:bCs/>
                <w:spacing w:val="4"/>
                <w:lang w:bidi="ru-RU"/>
              </w:rPr>
              <w:t>/</w:t>
            </w:r>
            <w:proofErr w:type="spellStart"/>
            <w:r>
              <w:rPr>
                <w:rFonts w:ascii="Times New Roman" w:eastAsia="Times New Roman" w:hAnsi="Times New Roman" w:cs="Times New Roman"/>
                <w:bCs/>
                <w:spacing w:val="4"/>
                <w:lang w:bidi="ru-RU"/>
              </w:rPr>
              <w:t>п</w:t>
            </w:r>
            <w:proofErr w:type="spellEnd"/>
          </w:p>
        </w:tc>
        <w:tc>
          <w:tcPr>
            <w:tcW w:w="1853" w:type="dxa"/>
            <w:vMerge w:val="restart"/>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Муниципальное образование</w:t>
            </w:r>
          </w:p>
        </w:tc>
        <w:tc>
          <w:tcPr>
            <w:tcW w:w="6934" w:type="dxa"/>
            <w:gridSpan w:val="7"/>
            <w:tcBorders>
              <w:top w:val="single" w:sz="4" w:space="0" w:color="000000"/>
              <w:left w:val="single" w:sz="4" w:space="0" w:color="000000"/>
              <w:bottom w:val="single" w:sz="4" w:space="0" w:color="000000"/>
              <w:right w:val="single" w:sz="4" w:space="0" w:color="000000"/>
            </w:tcBorders>
            <w:shd w:val="clear" w:color="auto" w:fill="FFFFFF"/>
            <w:vAlign w:val="bottom"/>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Состояние разработки и утверждения паспортов безопасности</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3"/>
                <w:lang w:bidi="ru-RU"/>
              </w:rPr>
              <w:t>ПОО, %</w:t>
            </w:r>
          </w:p>
        </w:tc>
      </w:tr>
      <w:tr w:rsidR="00B52DE3">
        <w:trPr>
          <w:trHeight w:hRule="exact" w:val="810"/>
        </w:trPr>
        <w:tc>
          <w:tcPr>
            <w:tcW w:w="850" w:type="dxa"/>
            <w:vMerge/>
            <w:tcBorders>
              <w:left w:val="single" w:sz="4" w:space="0" w:color="000000"/>
            </w:tcBorders>
            <w:shd w:val="clear" w:color="auto" w:fill="FFFFFF"/>
          </w:tcPr>
          <w:p w:rsidR="00B52DE3" w:rsidRDefault="00B52DE3">
            <w:pPr>
              <w:rPr>
                <w:rFonts w:ascii="Times New Roman" w:hAnsi="Times New Roman"/>
              </w:rPr>
            </w:pPr>
          </w:p>
        </w:tc>
        <w:tc>
          <w:tcPr>
            <w:tcW w:w="1853" w:type="dxa"/>
            <w:vMerge/>
            <w:tcBorders>
              <w:top w:val="single" w:sz="4" w:space="0" w:color="000000"/>
              <w:left w:val="single" w:sz="4" w:space="0" w:color="000000"/>
              <w:bottom w:val="single" w:sz="4" w:space="0" w:color="000000"/>
            </w:tcBorders>
            <w:shd w:val="clear" w:color="auto" w:fill="FFFFFF"/>
            <w:vAlign w:val="center"/>
          </w:tcPr>
          <w:p w:rsidR="00B52DE3" w:rsidRDefault="00B52DE3">
            <w:pPr>
              <w:rPr>
                <w:rFonts w:ascii="Times New Roman" w:hAnsi="Times New Roman"/>
              </w:rPr>
            </w:pPr>
          </w:p>
        </w:tc>
        <w:tc>
          <w:tcPr>
            <w:tcW w:w="1556" w:type="dxa"/>
            <w:gridSpan w:val="2"/>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утверждены</w:t>
            </w:r>
          </w:p>
        </w:tc>
        <w:tc>
          <w:tcPr>
            <w:tcW w:w="1816" w:type="dxa"/>
            <w:gridSpan w:val="2"/>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сформированы,</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не у</w:t>
            </w:r>
            <w:r>
              <w:rPr>
                <w:rFonts w:ascii="Times New Roman" w:eastAsia="Times New Roman" w:hAnsi="Times New Roman" w:cs="Times New Roman"/>
                <w:lang w:bidi="ru-RU"/>
              </w:rPr>
              <w:t>тв</w:t>
            </w:r>
            <w:r>
              <w:rPr>
                <w:rFonts w:ascii="Times New Roman" w:eastAsia="Times New Roman" w:hAnsi="Times New Roman" w:cs="Times New Roman"/>
                <w:bCs/>
                <w:spacing w:val="4"/>
                <w:lang w:bidi="ru-RU"/>
              </w:rPr>
              <w:t>ерждены</w:t>
            </w:r>
          </w:p>
        </w:tc>
        <w:tc>
          <w:tcPr>
            <w:tcW w:w="1729" w:type="dxa"/>
            <w:gridSpan w:val="2"/>
            <w:tcBorders>
              <w:top w:val="single" w:sz="4" w:space="0" w:color="000000"/>
              <w:left w:val="single" w:sz="4" w:space="0" w:color="000000"/>
              <w:bottom w:val="single" w:sz="4" w:space="0" w:color="000000"/>
            </w:tcBorders>
            <w:shd w:val="clear" w:color="auto" w:fill="FFFFFF"/>
            <w:vAlign w:val="bottom"/>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находятся в стадии разработки</w:t>
            </w:r>
          </w:p>
        </w:tc>
        <w:tc>
          <w:tcPr>
            <w:tcW w:w="18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проведена</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инвентаризация</w:t>
            </w:r>
          </w:p>
        </w:tc>
      </w:tr>
      <w:tr w:rsidR="00B52DE3">
        <w:trPr>
          <w:trHeight w:hRule="exact" w:val="418"/>
        </w:trPr>
        <w:tc>
          <w:tcPr>
            <w:tcW w:w="850" w:type="dxa"/>
            <w:vMerge/>
            <w:tcBorders>
              <w:left w:val="single" w:sz="4" w:space="0" w:color="000000"/>
              <w:bottom w:val="single" w:sz="4" w:space="0" w:color="000000"/>
            </w:tcBorders>
            <w:shd w:val="clear" w:color="auto" w:fill="FFFFFF"/>
          </w:tcPr>
          <w:p w:rsidR="00B52DE3" w:rsidRDefault="00B52DE3">
            <w:pPr>
              <w:rPr>
                <w:rFonts w:ascii="Times New Roman" w:hAnsi="Times New Roman"/>
              </w:rPr>
            </w:pPr>
          </w:p>
        </w:tc>
        <w:tc>
          <w:tcPr>
            <w:tcW w:w="1853" w:type="dxa"/>
            <w:vMerge/>
            <w:tcBorders>
              <w:top w:val="single" w:sz="4" w:space="0" w:color="000000"/>
              <w:left w:val="single" w:sz="4" w:space="0" w:color="000000"/>
              <w:bottom w:val="single" w:sz="4" w:space="0" w:color="000000"/>
            </w:tcBorders>
            <w:shd w:val="clear" w:color="auto" w:fill="FFFFFF"/>
            <w:vAlign w:val="center"/>
          </w:tcPr>
          <w:p w:rsidR="00B52DE3" w:rsidRDefault="00B52DE3">
            <w:pPr>
              <w:rPr>
                <w:rFonts w:ascii="Times New Roman" w:hAnsi="Times New Roman"/>
              </w:rPr>
            </w:pPr>
          </w:p>
        </w:tc>
        <w:tc>
          <w:tcPr>
            <w:tcW w:w="704"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2024 г</w:t>
            </w:r>
            <w:r>
              <w:rPr>
                <w:rFonts w:ascii="Times New Roman" w:eastAsia="Times New Roman" w:hAnsi="Times New Roman" w:cs="Times New Roman"/>
                <w:spacing w:val="-2"/>
                <w:lang w:bidi="ru-RU"/>
              </w:rPr>
              <w:t>.</w:t>
            </w:r>
          </w:p>
        </w:tc>
        <w:tc>
          <w:tcPr>
            <w:tcW w:w="852"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 xml:space="preserve">2025 </w:t>
            </w:r>
            <w:r>
              <w:rPr>
                <w:rFonts w:ascii="Times New Roman" w:eastAsia="Times New Roman" w:hAnsi="Times New Roman" w:cs="Times New Roman"/>
                <w:spacing w:val="-2"/>
                <w:lang w:bidi="ru-RU"/>
              </w:rPr>
              <w:t>г.</w:t>
            </w:r>
          </w:p>
        </w:tc>
        <w:tc>
          <w:tcPr>
            <w:tcW w:w="832"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 xml:space="preserve">2024 </w:t>
            </w:r>
            <w:r>
              <w:rPr>
                <w:rFonts w:ascii="Times New Roman" w:eastAsia="Times New Roman" w:hAnsi="Times New Roman" w:cs="Times New Roman"/>
                <w:spacing w:val="-2"/>
                <w:lang w:bidi="ru-RU"/>
              </w:rPr>
              <w:t>г.</w:t>
            </w:r>
          </w:p>
        </w:tc>
        <w:tc>
          <w:tcPr>
            <w:tcW w:w="984"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 xml:space="preserve">2025 </w:t>
            </w:r>
            <w:r>
              <w:rPr>
                <w:rFonts w:ascii="Times New Roman" w:eastAsia="Times New Roman" w:hAnsi="Times New Roman" w:cs="Times New Roman"/>
                <w:spacing w:val="-2"/>
                <w:lang w:bidi="ru-RU"/>
              </w:rPr>
              <w:t>г.</w:t>
            </w:r>
          </w:p>
        </w:tc>
        <w:tc>
          <w:tcPr>
            <w:tcW w:w="879"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 xml:space="preserve">2024 </w:t>
            </w:r>
            <w:r>
              <w:rPr>
                <w:rFonts w:ascii="Times New Roman" w:eastAsia="Times New Roman" w:hAnsi="Times New Roman" w:cs="Times New Roman"/>
                <w:spacing w:val="-2"/>
                <w:lang w:bidi="ru-RU"/>
              </w:rPr>
              <w:t>г.</w:t>
            </w:r>
          </w:p>
        </w:tc>
        <w:tc>
          <w:tcPr>
            <w:tcW w:w="850"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 xml:space="preserve">2025 </w:t>
            </w:r>
            <w:r>
              <w:rPr>
                <w:rFonts w:ascii="Times New Roman" w:eastAsia="Times New Roman" w:hAnsi="Times New Roman" w:cs="Times New Roman"/>
                <w:spacing w:val="-2"/>
                <w:lang w:bidi="ru-RU"/>
              </w:rPr>
              <w:t>г.</w:t>
            </w:r>
          </w:p>
        </w:tc>
        <w:tc>
          <w:tcPr>
            <w:tcW w:w="18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lang w:bidi="ru-RU"/>
              </w:rPr>
              <w:t xml:space="preserve">2025 </w:t>
            </w:r>
            <w:r>
              <w:rPr>
                <w:rFonts w:ascii="Times New Roman" w:eastAsia="Times New Roman" w:hAnsi="Times New Roman" w:cs="Times New Roman"/>
                <w:spacing w:val="-2"/>
                <w:lang w:bidi="ru-RU"/>
              </w:rPr>
              <w:t>г.</w:t>
            </w:r>
          </w:p>
        </w:tc>
      </w:tr>
      <w:tr w:rsidR="00B52DE3">
        <w:trPr>
          <w:trHeight w:hRule="exact" w:val="418"/>
        </w:trPr>
        <w:tc>
          <w:tcPr>
            <w:tcW w:w="850" w:type="dxa"/>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1</w:t>
            </w:r>
          </w:p>
        </w:tc>
        <w:tc>
          <w:tcPr>
            <w:tcW w:w="1853" w:type="dxa"/>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2</w:t>
            </w:r>
          </w:p>
        </w:tc>
        <w:tc>
          <w:tcPr>
            <w:tcW w:w="704" w:type="dxa"/>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sz w:val="24"/>
                <w:lang w:bidi="ru-RU"/>
              </w:rPr>
              <w:t>3</w:t>
            </w:r>
          </w:p>
        </w:tc>
        <w:tc>
          <w:tcPr>
            <w:tcW w:w="852" w:type="dxa"/>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sz w:val="24"/>
                <w:lang w:bidi="ru-RU"/>
              </w:rPr>
              <w:t>4</w:t>
            </w:r>
          </w:p>
        </w:tc>
        <w:tc>
          <w:tcPr>
            <w:tcW w:w="832" w:type="dxa"/>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sz w:val="24"/>
                <w:lang w:bidi="ru-RU"/>
              </w:rPr>
              <w:t>5</w:t>
            </w:r>
          </w:p>
        </w:tc>
        <w:tc>
          <w:tcPr>
            <w:tcW w:w="984" w:type="dxa"/>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sz w:val="24"/>
                <w:lang w:bidi="ru-RU"/>
              </w:rPr>
              <w:t>6</w:t>
            </w:r>
          </w:p>
        </w:tc>
        <w:tc>
          <w:tcPr>
            <w:tcW w:w="879" w:type="dxa"/>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sz w:val="24"/>
                <w:lang w:bidi="ru-RU"/>
              </w:rPr>
              <w:t>7</w:t>
            </w:r>
          </w:p>
        </w:tc>
        <w:tc>
          <w:tcPr>
            <w:tcW w:w="850" w:type="dxa"/>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sz w:val="24"/>
                <w:lang w:bidi="ru-RU"/>
              </w:rPr>
              <w:t>8</w:t>
            </w:r>
          </w:p>
        </w:tc>
        <w:tc>
          <w:tcPr>
            <w:tcW w:w="183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Cs/>
                <w:spacing w:val="4"/>
                <w:sz w:val="24"/>
                <w:lang w:bidi="ru-RU"/>
              </w:rPr>
              <w:t>9</w:t>
            </w:r>
          </w:p>
        </w:tc>
      </w:tr>
      <w:tr w:rsidR="00B52DE3">
        <w:trPr>
          <w:trHeight w:hRule="exact" w:val="543"/>
        </w:trPr>
        <w:tc>
          <w:tcPr>
            <w:tcW w:w="850" w:type="dxa"/>
            <w:tcBorders>
              <w:top w:val="single" w:sz="4" w:space="0" w:color="000000"/>
              <w:left w:val="single" w:sz="4" w:space="0" w:color="000000"/>
              <w:bottom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c>
          <w:tcPr>
            <w:tcW w:w="1853"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Уссурийский городской округ</w:t>
            </w:r>
          </w:p>
        </w:tc>
        <w:tc>
          <w:tcPr>
            <w:tcW w:w="704"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100</w:t>
            </w:r>
          </w:p>
        </w:tc>
        <w:tc>
          <w:tcPr>
            <w:tcW w:w="852"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100</w:t>
            </w:r>
          </w:p>
        </w:tc>
        <w:tc>
          <w:tcPr>
            <w:tcW w:w="832"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984"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879"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850" w:type="dxa"/>
            <w:tcBorders>
              <w:top w:val="single" w:sz="4" w:space="0" w:color="000000"/>
              <w:left w:val="single" w:sz="4" w:space="0" w:color="000000"/>
              <w:bottom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18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41</w:t>
            </w:r>
          </w:p>
        </w:tc>
      </w:tr>
    </w:tbl>
    <w:p w:rsidR="00B52DE3" w:rsidRDefault="00B52DE3">
      <w:pPr>
        <w:widowControl w:val="0"/>
        <w:spacing w:after="0" w:line="240" w:lineRule="auto"/>
        <w:jc w:val="right"/>
        <w:rPr>
          <w:rFonts w:ascii="Times New Roman" w:hAnsi="Times New Roman" w:cs="Times New Roman"/>
          <w:i/>
          <w:iCs/>
          <w:spacing w:val="-3"/>
        </w:rPr>
      </w:pPr>
    </w:p>
    <w:p w:rsidR="00B52DE3" w:rsidRDefault="00B52DE3">
      <w:pPr>
        <w:widowControl w:val="0"/>
        <w:spacing w:after="0" w:line="240" w:lineRule="auto"/>
        <w:ind w:firstLine="709"/>
        <w:jc w:val="both"/>
        <w:rPr>
          <w:rFonts w:ascii="Times New Roman" w:hAnsi="Times New Roman" w:cs="Times New Roman"/>
          <w:i/>
          <w:iCs/>
          <w:spacing w:val="-3"/>
          <w:sz w:val="24"/>
        </w:rPr>
      </w:pPr>
    </w:p>
    <w:p w:rsidR="00B52DE3" w:rsidRDefault="00DE73E3">
      <w:pPr>
        <w:widowControl w:val="0"/>
        <w:tabs>
          <w:tab w:val="left" w:pos="1326"/>
        </w:tabs>
        <w:spacing w:after="0" w:line="360" w:lineRule="auto"/>
        <w:ind w:firstLine="709"/>
        <w:jc w:val="center"/>
        <w:outlineLvl w:val="0"/>
        <w:rPr>
          <w:rFonts w:ascii="Times New Roman" w:hAnsi="Times New Roman" w:cs="Times New Roman"/>
        </w:rPr>
      </w:pPr>
      <w:bookmarkStart w:id="156" w:name="_Toc144"/>
      <w:r>
        <w:rPr>
          <w:rFonts w:ascii="Times New Roman" w:eastAsia="Times New Roman" w:hAnsi="Times New Roman" w:cs="Times New Roman"/>
          <w:b/>
          <w:spacing w:val="-3"/>
          <w:sz w:val="28"/>
          <w:szCs w:val="24"/>
        </w:rPr>
        <w:t>Мероприятия по защите населения и территорий</w:t>
      </w:r>
      <w:bookmarkEnd w:id="156"/>
    </w:p>
    <w:p w:rsidR="00B52DE3" w:rsidRDefault="00B52DE3">
      <w:pPr>
        <w:widowControl w:val="0"/>
        <w:tabs>
          <w:tab w:val="left" w:pos="1326"/>
        </w:tabs>
        <w:spacing w:after="0" w:line="360" w:lineRule="auto"/>
        <w:ind w:firstLine="709"/>
        <w:jc w:val="center"/>
        <w:outlineLvl w:val="0"/>
        <w:rPr>
          <w:rFonts w:ascii="Times New Roman" w:hAnsi="Times New Roman" w:cs="Times New Roman"/>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 xml:space="preserve">За счет бюджета Уссурийского городского округа выполнены </w:t>
      </w:r>
      <w:r>
        <w:rPr>
          <w:rFonts w:ascii="Times New Roman" w:eastAsia="Times New Roman" w:hAnsi="Times New Roman" w:cs="Times New Roman"/>
          <w:sz w:val="28"/>
          <w:szCs w:val="24"/>
        </w:rPr>
        <w:lastRenderedPageBreak/>
        <w:t>мероприятия:</w:t>
      </w:r>
    </w:p>
    <w:p w:rsidR="00B52DE3" w:rsidRDefault="00DE73E3">
      <w:pPr>
        <w:widowControl w:val="0"/>
        <w:spacing w:after="0" w:line="360" w:lineRule="auto"/>
        <w:ind w:firstLine="709"/>
        <w:jc w:val="both"/>
        <w:outlineLvl w:val="0"/>
        <w:rPr>
          <w:rFonts w:ascii="Times New Roman" w:hAnsi="Times New Roman" w:cs="Times New Roman"/>
        </w:rPr>
      </w:pPr>
      <w:bookmarkStart w:id="157" w:name="_Toc145"/>
      <w:r>
        <w:rPr>
          <w:rFonts w:ascii="Times New Roman" w:eastAsia="Times New Roman" w:hAnsi="Times New Roman" w:cs="Times New Roman"/>
          <w:bCs/>
          <w:spacing w:val="-3"/>
          <w:sz w:val="28"/>
          <w:szCs w:val="24"/>
        </w:rPr>
        <w:t xml:space="preserve">проведено обследование поврежденных гидротехнических сооружений; </w:t>
      </w:r>
      <w:bookmarkEnd w:id="157"/>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восстановлены поврежденные и разрушенные участки водозащитных дамб;</w:t>
      </w:r>
    </w:p>
    <w:p w:rsidR="00B52DE3" w:rsidRDefault="00DE73E3">
      <w:pPr>
        <w:widowControl w:val="0"/>
        <w:spacing w:after="0" w:line="360" w:lineRule="auto"/>
        <w:ind w:firstLine="709"/>
        <w:jc w:val="both"/>
        <w:rPr>
          <w:rFonts w:ascii="Times New Roman" w:hAnsi="Times New Roman" w:cs="Times New Roman"/>
        </w:rPr>
      </w:pPr>
      <w:bookmarkStart w:id="158" w:name="bookmark9"/>
      <w:r>
        <w:rPr>
          <w:rFonts w:ascii="Times New Roman" w:eastAsia="Times New Roman" w:hAnsi="Times New Roman" w:cs="Times New Roman"/>
          <w:sz w:val="28"/>
          <w:szCs w:val="24"/>
        </w:rPr>
        <w:t xml:space="preserve">произведены расчеты для строительства новых водозащитных дамб. </w:t>
      </w:r>
      <w:bookmarkEnd w:id="158"/>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 xml:space="preserve">На территории Уссурийского городского округа функционируют </w:t>
      </w:r>
      <w:r>
        <w:rPr>
          <w:rFonts w:ascii="Times New Roman" w:eastAsia="Times New Roman" w:hAnsi="Times New Roman" w:cs="Times New Roman"/>
          <w:sz w:val="28"/>
          <w:szCs w:val="24"/>
        </w:rPr>
        <w:br/>
        <w:t>7 организаций, входящих в сеть наблюдения и лабораторного контроля Приморского края:</w:t>
      </w:r>
    </w:p>
    <w:p w:rsidR="00B52DE3" w:rsidRDefault="00B52DE3">
      <w:pPr>
        <w:widowControl w:val="0"/>
        <w:spacing w:after="0" w:line="240" w:lineRule="auto"/>
        <w:ind w:firstLine="567"/>
        <w:jc w:val="both"/>
        <w:rPr>
          <w:rFonts w:ascii="Times New Roman" w:hAnsi="Times New Roman" w:cs="Times New Roman"/>
          <w:sz w:val="24"/>
          <w:szCs w:val="24"/>
        </w:rPr>
      </w:pPr>
    </w:p>
    <w:tbl>
      <w:tblPr>
        <w:tblW w:w="9540" w:type="dxa"/>
        <w:tblInd w:w="-4" w:type="dxa"/>
        <w:tblLayout w:type="fixed"/>
        <w:tblLook w:val="04A0"/>
      </w:tblPr>
      <w:tblGrid>
        <w:gridCol w:w="559"/>
        <w:gridCol w:w="1962"/>
        <w:gridCol w:w="2016"/>
        <w:gridCol w:w="5003"/>
      </w:tblGrid>
      <w:tr w:rsidR="00B52DE3">
        <w:trPr>
          <w:tblHead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п</w:t>
            </w:r>
            <w:proofErr w:type="spellEnd"/>
          </w:p>
        </w:tc>
        <w:tc>
          <w:tcPr>
            <w:tcW w:w="196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Наименование</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учреждения</w:t>
            </w:r>
          </w:p>
        </w:tc>
        <w:tc>
          <w:tcPr>
            <w:tcW w:w="20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proofErr w:type="spellStart"/>
            <w:r>
              <w:rPr>
                <w:rFonts w:ascii="Times New Roman" w:eastAsia="Times New Roman" w:hAnsi="Times New Roman" w:cs="Times New Roman"/>
                <w:sz w:val="24"/>
                <w:szCs w:val="24"/>
              </w:rPr>
              <w:t>Местонахожде-ние</w:t>
            </w:r>
            <w:proofErr w:type="spellEnd"/>
          </w:p>
        </w:tc>
        <w:tc>
          <w:tcPr>
            <w:tcW w:w="5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Выполняемые</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 xml:space="preserve"> функции</w:t>
            </w:r>
          </w:p>
        </w:tc>
      </w:tr>
      <w:tr w:rsidR="00B52DE3">
        <w:trPr>
          <w:tblHeader/>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1</w:t>
            </w:r>
          </w:p>
        </w:tc>
        <w:tc>
          <w:tcPr>
            <w:tcW w:w="196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2</w:t>
            </w:r>
          </w:p>
        </w:tc>
        <w:tc>
          <w:tcPr>
            <w:tcW w:w="20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3</w:t>
            </w:r>
          </w:p>
        </w:tc>
        <w:tc>
          <w:tcPr>
            <w:tcW w:w="5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4</w:t>
            </w:r>
          </w:p>
        </w:tc>
      </w:tr>
      <w:tr w:rsidR="00B52DE3">
        <w:trPr>
          <w:trHeight w:val="2504"/>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iCs/>
                <w:sz w:val="24"/>
                <w:szCs w:val="24"/>
              </w:rPr>
              <w:t>1</w:t>
            </w:r>
            <w:r>
              <w:rPr>
                <w:rFonts w:ascii="Times New Roman" w:eastAsia="Times New Roman" w:hAnsi="Times New Roman" w:cs="Times New Roman"/>
                <w:i/>
                <w:sz w:val="24"/>
                <w:szCs w:val="24"/>
              </w:rPr>
              <w:t>.</w:t>
            </w:r>
          </w:p>
        </w:tc>
        <w:tc>
          <w:tcPr>
            <w:tcW w:w="196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hanging="1"/>
              <w:rPr>
                <w:rFonts w:ascii="Times New Roman" w:hAnsi="Times New Roman" w:cs="Times New Roman"/>
              </w:rPr>
            </w:pPr>
            <w:r>
              <w:rPr>
                <w:rFonts w:ascii="Times New Roman" w:eastAsia="Times New Roman" w:hAnsi="Times New Roman" w:cs="Times New Roman"/>
                <w:sz w:val="24"/>
                <w:szCs w:val="24"/>
              </w:rPr>
              <w:t>ФГУ «Приморская межобластная             ветеринарная лаборатория»</w:t>
            </w:r>
          </w:p>
          <w:p w:rsidR="00B52DE3" w:rsidRDefault="00B52DE3">
            <w:pPr>
              <w:widowControl w:val="0"/>
              <w:spacing w:after="0" w:line="240" w:lineRule="auto"/>
              <w:ind w:hanging="1"/>
              <w:rPr>
                <w:rFonts w:ascii="Times New Roman" w:hAnsi="Times New Roman" w:cs="Times New Roman"/>
                <w:sz w:val="24"/>
                <w:szCs w:val="24"/>
              </w:rPr>
            </w:pPr>
          </w:p>
        </w:tc>
        <w:tc>
          <w:tcPr>
            <w:tcW w:w="201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hanging="120"/>
              <w:jc w:val="center"/>
              <w:rPr>
                <w:rFonts w:ascii="Times New Roman" w:hAnsi="Times New Roman" w:cs="Times New Roman"/>
              </w:rPr>
            </w:pPr>
            <w:r>
              <w:rPr>
                <w:rFonts w:ascii="Times New Roman" w:eastAsia="Times New Roman" w:hAnsi="Times New Roman" w:cs="Times New Roman"/>
                <w:sz w:val="24"/>
                <w:szCs w:val="24"/>
              </w:rPr>
              <w:t>ул. Белинского, 3</w:t>
            </w:r>
          </w:p>
          <w:p w:rsidR="00B52DE3" w:rsidRDefault="00B52DE3">
            <w:pPr>
              <w:widowControl w:val="0"/>
              <w:spacing w:after="0" w:line="240" w:lineRule="auto"/>
              <w:ind w:hanging="12"/>
              <w:jc w:val="center"/>
              <w:rPr>
                <w:rFonts w:ascii="Times New Roman" w:hAnsi="Times New Roman" w:cs="Times New Roman"/>
                <w:i/>
                <w:sz w:val="24"/>
                <w:szCs w:val="24"/>
              </w:rPr>
            </w:pPr>
          </w:p>
          <w:p w:rsidR="00B52DE3" w:rsidRDefault="00B52DE3">
            <w:pPr>
              <w:widowControl w:val="0"/>
              <w:spacing w:after="0" w:line="240" w:lineRule="auto"/>
              <w:ind w:hanging="12"/>
              <w:jc w:val="center"/>
              <w:rPr>
                <w:rFonts w:ascii="Times New Roman" w:hAnsi="Times New Roman" w:cs="Times New Roman"/>
                <w:i/>
                <w:sz w:val="24"/>
                <w:szCs w:val="24"/>
              </w:rPr>
            </w:pPr>
          </w:p>
          <w:p w:rsidR="00B52DE3" w:rsidRDefault="00B52DE3">
            <w:pPr>
              <w:widowControl w:val="0"/>
              <w:spacing w:after="0" w:line="240" w:lineRule="auto"/>
              <w:ind w:hanging="12"/>
              <w:jc w:val="center"/>
              <w:rPr>
                <w:rFonts w:ascii="Times New Roman" w:hAnsi="Times New Roman" w:cs="Times New Roman"/>
                <w:i/>
                <w:sz w:val="24"/>
                <w:szCs w:val="24"/>
              </w:rPr>
            </w:pPr>
          </w:p>
          <w:p w:rsidR="00B52DE3" w:rsidRDefault="00B52DE3">
            <w:pPr>
              <w:widowControl w:val="0"/>
              <w:spacing w:after="0" w:line="240" w:lineRule="auto"/>
              <w:ind w:hanging="12"/>
              <w:jc w:val="center"/>
              <w:rPr>
                <w:rFonts w:ascii="Times New Roman" w:hAnsi="Times New Roman" w:cs="Times New Roman"/>
                <w:i/>
                <w:sz w:val="24"/>
                <w:szCs w:val="24"/>
              </w:rPr>
            </w:pPr>
          </w:p>
          <w:p w:rsidR="00B52DE3" w:rsidRDefault="00B52DE3">
            <w:pPr>
              <w:widowControl w:val="0"/>
              <w:spacing w:after="0" w:line="240" w:lineRule="auto"/>
              <w:ind w:hanging="1"/>
              <w:jc w:val="center"/>
              <w:rPr>
                <w:rFonts w:ascii="Times New Roman" w:hAnsi="Times New Roman" w:cs="Times New Roman"/>
                <w:i/>
                <w:sz w:val="24"/>
                <w:szCs w:val="24"/>
              </w:rPr>
            </w:pPr>
          </w:p>
          <w:p w:rsidR="00B52DE3" w:rsidRDefault="00B52DE3">
            <w:pPr>
              <w:widowControl w:val="0"/>
              <w:spacing w:after="0" w:line="240" w:lineRule="auto"/>
              <w:ind w:hanging="1"/>
              <w:jc w:val="center"/>
              <w:rPr>
                <w:rFonts w:ascii="Times New Roman" w:hAnsi="Times New Roman" w:cs="Times New Roman"/>
                <w:sz w:val="24"/>
                <w:szCs w:val="24"/>
              </w:rPr>
            </w:pPr>
          </w:p>
          <w:p w:rsidR="00B52DE3" w:rsidRDefault="00B52DE3">
            <w:pPr>
              <w:widowControl w:val="0"/>
              <w:spacing w:after="0" w:line="240" w:lineRule="auto"/>
              <w:ind w:hanging="1"/>
              <w:jc w:val="center"/>
              <w:rPr>
                <w:rFonts w:ascii="Times New Roman" w:hAnsi="Times New Roman" w:cs="Times New Roman"/>
                <w:sz w:val="24"/>
                <w:szCs w:val="24"/>
              </w:rPr>
            </w:pPr>
          </w:p>
          <w:p w:rsidR="00B52DE3" w:rsidRDefault="00B52DE3">
            <w:pPr>
              <w:widowControl w:val="0"/>
              <w:spacing w:after="0" w:line="240" w:lineRule="auto"/>
              <w:ind w:hanging="1"/>
              <w:jc w:val="center"/>
              <w:rPr>
                <w:rFonts w:ascii="Times New Roman" w:hAnsi="Times New Roman" w:cs="Times New Roman"/>
                <w:sz w:val="24"/>
                <w:szCs w:val="24"/>
              </w:rPr>
            </w:pPr>
          </w:p>
        </w:tc>
        <w:tc>
          <w:tcPr>
            <w:tcW w:w="500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tabs>
                <w:tab w:val="left" w:pos="231"/>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Измерение мощности доз радиоактивного излучения на местности в районе расположения учреждения и контролируемых объектов;</w:t>
            </w:r>
          </w:p>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установление наличия в объектах окружающей среды опасных веществ и</w:t>
            </w:r>
            <w:r>
              <w:rPr>
                <w:rFonts w:ascii="Times New Roman" w:eastAsia="Times New Roman" w:hAnsi="Times New Roman" w:cs="Times New Roman"/>
                <w:sz w:val="28"/>
                <w:szCs w:val="24"/>
              </w:rPr>
              <w:t xml:space="preserve"> </w:t>
            </w:r>
            <w:r>
              <w:rPr>
                <w:rFonts w:ascii="Times New Roman" w:eastAsia="Times New Roman" w:hAnsi="Times New Roman" w:cs="Times New Roman"/>
                <w:sz w:val="24"/>
                <w:szCs w:val="24"/>
              </w:rPr>
              <w:t>аварийно химических отравляющих веществ;</w:t>
            </w:r>
          </w:p>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определение удельной активности радионуклидов в пробах почвы, растений, кормов, минеральных и органических удобрений, воды;</w:t>
            </w:r>
          </w:p>
          <w:p w:rsidR="00B52DE3" w:rsidRDefault="00DE73E3">
            <w:pPr>
              <w:widowControl w:val="0"/>
              <w:tabs>
                <w:tab w:val="left" w:pos="231"/>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диагностирование заболеваний с/</w:t>
            </w:r>
            <w:proofErr w:type="spellStart"/>
            <w:r>
              <w:rPr>
                <w:rFonts w:ascii="Times New Roman" w:eastAsia="Times New Roman" w:hAnsi="Times New Roman" w:cs="Times New Roman"/>
                <w:sz w:val="24"/>
                <w:szCs w:val="24"/>
              </w:rPr>
              <w:t>х</w:t>
            </w:r>
            <w:proofErr w:type="spellEnd"/>
            <w:r>
              <w:rPr>
                <w:rFonts w:ascii="Times New Roman" w:eastAsia="Times New Roman" w:hAnsi="Times New Roman" w:cs="Times New Roman"/>
                <w:sz w:val="24"/>
                <w:szCs w:val="24"/>
              </w:rPr>
              <w:t xml:space="preserve"> животных и птицы;</w:t>
            </w:r>
          </w:p>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обеспечение безопасности продуктов животноводства в ветеринарно-санитарном отношении</w:t>
            </w:r>
          </w:p>
        </w:tc>
      </w:tr>
      <w:tr w:rsidR="00B52DE3">
        <w:trPr>
          <w:trHeight w:val="297"/>
        </w:trPr>
        <w:tc>
          <w:tcPr>
            <w:tcW w:w="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2.</w:t>
            </w:r>
          </w:p>
        </w:tc>
        <w:tc>
          <w:tcPr>
            <w:tcW w:w="196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Метеостанция «Тимирязевский АГРО»</w:t>
            </w:r>
          </w:p>
        </w:tc>
        <w:tc>
          <w:tcPr>
            <w:tcW w:w="201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hanging="108"/>
              <w:jc w:val="center"/>
              <w:rPr>
                <w:rFonts w:ascii="Times New Roman" w:hAnsi="Times New Roman" w:cs="Times New Roman"/>
              </w:rPr>
            </w:pPr>
            <w:r>
              <w:rPr>
                <w:rFonts w:ascii="Times New Roman" w:eastAsia="Times New Roman" w:hAnsi="Times New Roman" w:cs="Times New Roman"/>
                <w:sz w:val="24"/>
                <w:szCs w:val="24"/>
              </w:rPr>
              <w:t>п. Тимирязевский,</w:t>
            </w:r>
          </w:p>
          <w:p w:rsidR="00B52DE3" w:rsidRDefault="00DE73E3">
            <w:pPr>
              <w:widowControl w:val="0"/>
              <w:spacing w:after="0" w:line="240" w:lineRule="auto"/>
              <w:ind w:hanging="108"/>
              <w:jc w:val="center"/>
              <w:rPr>
                <w:rFonts w:ascii="Times New Roman" w:hAnsi="Times New Roman" w:cs="Times New Roman"/>
              </w:rPr>
            </w:pPr>
            <w:r>
              <w:rPr>
                <w:rFonts w:ascii="Times New Roman" w:eastAsia="Times New Roman" w:hAnsi="Times New Roman" w:cs="Times New Roman"/>
                <w:sz w:val="24"/>
                <w:szCs w:val="24"/>
              </w:rPr>
              <w:t xml:space="preserve">ул. </w:t>
            </w:r>
            <w:proofErr w:type="spellStart"/>
            <w:r>
              <w:rPr>
                <w:rFonts w:ascii="Times New Roman" w:eastAsia="Times New Roman" w:hAnsi="Times New Roman" w:cs="Times New Roman"/>
                <w:sz w:val="24"/>
                <w:szCs w:val="24"/>
              </w:rPr>
              <w:t>Воложенина</w:t>
            </w:r>
            <w:proofErr w:type="spellEnd"/>
            <w:r>
              <w:rPr>
                <w:rFonts w:ascii="Times New Roman" w:eastAsia="Times New Roman" w:hAnsi="Times New Roman" w:cs="Times New Roman"/>
                <w:sz w:val="24"/>
                <w:szCs w:val="24"/>
              </w:rPr>
              <w:t>, 30</w:t>
            </w:r>
          </w:p>
          <w:p w:rsidR="00B52DE3" w:rsidRDefault="00B52DE3">
            <w:pPr>
              <w:widowControl w:val="0"/>
              <w:spacing w:after="0" w:line="240" w:lineRule="auto"/>
              <w:ind w:hanging="108"/>
              <w:jc w:val="center"/>
              <w:rPr>
                <w:rFonts w:ascii="Times New Roman" w:hAnsi="Times New Roman" w:cs="Times New Roman"/>
                <w:sz w:val="24"/>
                <w:szCs w:val="24"/>
              </w:rPr>
            </w:pPr>
          </w:p>
        </w:tc>
        <w:tc>
          <w:tcPr>
            <w:tcW w:w="500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Осуществление радиометрических наблюдений; Осуществление метеорологических, актинометрических, агрометеорологических наблюдений</w:t>
            </w:r>
          </w:p>
        </w:tc>
      </w:tr>
      <w:tr w:rsidR="00B52DE3">
        <w:tc>
          <w:tcPr>
            <w:tcW w:w="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3.</w:t>
            </w:r>
          </w:p>
        </w:tc>
        <w:tc>
          <w:tcPr>
            <w:tcW w:w="196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 xml:space="preserve">ФГУ «Приморский </w:t>
            </w:r>
            <w:proofErr w:type="spellStart"/>
            <w:r>
              <w:rPr>
                <w:rFonts w:ascii="Times New Roman" w:eastAsia="Times New Roman" w:hAnsi="Times New Roman" w:cs="Times New Roman"/>
                <w:sz w:val="24"/>
                <w:szCs w:val="24"/>
              </w:rPr>
              <w:t>референтный</w:t>
            </w:r>
            <w:proofErr w:type="spellEnd"/>
            <w:r>
              <w:rPr>
                <w:rFonts w:ascii="Times New Roman" w:eastAsia="Times New Roman" w:hAnsi="Times New Roman" w:cs="Times New Roman"/>
                <w:sz w:val="24"/>
                <w:szCs w:val="24"/>
              </w:rPr>
              <w:t xml:space="preserve"> центр </w:t>
            </w:r>
            <w:proofErr w:type="spellStart"/>
            <w:r>
              <w:rPr>
                <w:rFonts w:ascii="Times New Roman" w:eastAsia="Times New Roman" w:hAnsi="Times New Roman" w:cs="Times New Roman"/>
                <w:sz w:val="24"/>
                <w:szCs w:val="24"/>
              </w:rPr>
              <w:t>Россельхознад-зора</w:t>
            </w:r>
            <w:proofErr w:type="spellEnd"/>
            <w:r>
              <w:rPr>
                <w:rFonts w:ascii="Times New Roman" w:eastAsia="Times New Roman" w:hAnsi="Times New Roman" w:cs="Times New Roman"/>
                <w:sz w:val="24"/>
                <w:szCs w:val="24"/>
              </w:rPr>
              <w:t>»</w:t>
            </w:r>
          </w:p>
        </w:tc>
        <w:tc>
          <w:tcPr>
            <w:tcW w:w="201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hanging="108"/>
              <w:jc w:val="center"/>
              <w:rPr>
                <w:rFonts w:ascii="Times New Roman" w:hAnsi="Times New Roman" w:cs="Times New Roman"/>
              </w:rPr>
            </w:pPr>
            <w:r>
              <w:rPr>
                <w:rFonts w:ascii="Times New Roman" w:eastAsia="Times New Roman" w:hAnsi="Times New Roman" w:cs="Times New Roman"/>
                <w:sz w:val="24"/>
                <w:szCs w:val="24"/>
              </w:rPr>
              <w:t xml:space="preserve">пос. Тимирязевский, ул. </w:t>
            </w:r>
            <w:proofErr w:type="spellStart"/>
            <w:r>
              <w:rPr>
                <w:rFonts w:ascii="Times New Roman" w:eastAsia="Times New Roman" w:hAnsi="Times New Roman" w:cs="Times New Roman"/>
                <w:sz w:val="24"/>
                <w:szCs w:val="24"/>
              </w:rPr>
              <w:t>Воложенина</w:t>
            </w:r>
            <w:proofErr w:type="spellEnd"/>
            <w:r>
              <w:rPr>
                <w:rFonts w:ascii="Times New Roman" w:eastAsia="Times New Roman" w:hAnsi="Times New Roman" w:cs="Times New Roman"/>
                <w:sz w:val="24"/>
                <w:szCs w:val="24"/>
              </w:rPr>
              <w:t>, 30а</w:t>
            </w:r>
          </w:p>
        </w:tc>
        <w:tc>
          <w:tcPr>
            <w:tcW w:w="500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 xml:space="preserve">Осуществление в рамках контрольно-надзорных полномочий </w:t>
            </w:r>
            <w:proofErr w:type="spellStart"/>
            <w:r>
              <w:rPr>
                <w:rFonts w:ascii="Times New Roman" w:eastAsia="Times New Roman" w:hAnsi="Times New Roman" w:cs="Times New Roman"/>
                <w:sz w:val="24"/>
                <w:szCs w:val="24"/>
              </w:rPr>
              <w:t>Россельхознадзора</w:t>
            </w:r>
            <w:proofErr w:type="spellEnd"/>
            <w:r>
              <w:rPr>
                <w:rFonts w:ascii="Times New Roman" w:eastAsia="Times New Roman" w:hAnsi="Times New Roman" w:cs="Times New Roman"/>
                <w:sz w:val="24"/>
                <w:szCs w:val="24"/>
              </w:rPr>
              <w:t xml:space="preserve"> экспертиз, лабораторных анализов и исследований, отбор проб, выдача заключений и протоколов, участие в сравнительных испытаниях.</w:t>
            </w:r>
          </w:p>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 xml:space="preserve">Отбор проб, проведение исследований, анализов, экспертиз продукции животного и растительного происхождения, объектов окружающей среды, средств защиты растений, семян и посадочного материала, апробация сортовых посевов, выдача </w:t>
            </w:r>
            <w:r>
              <w:rPr>
                <w:rFonts w:ascii="Times New Roman" w:eastAsia="Times New Roman" w:hAnsi="Times New Roman" w:cs="Times New Roman"/>
                <w:sz w:val="24"/>
                <w:szCs w:val="24"/>
              </w:rPr>
              <w:lastRenderedPageBreak/>
              <w:t>заключений и др.</w:t>
            </w:r>
          </w:p>
          <w:p w:rsidR="00B52DE3" w:rsidRDefault="00DE73E3">
            <w:pPr>
              <w:widowControl w:val="0"/>
              <w:tabs>
                <w:tab w:val="left" w:pos="331"/>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Проведение ветеринарно-санитарной экспертизы, сертификации и декларирования соответствия продукции.</w:t>
            </w:r>
          </w:p>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 xml:space="preserve">Установление карантинного фитосанитарного состояния </w:t>
            </w:r>
            <w:proofErr w:type="spellStart"/>
            <w:r>
              <w:rPr>
                <w:rFonts w:ascii="Times New Roman" w:eastAsia="Times New Roman" w:hAnsi="Times New Roman" w:cs="Times New Roman"/>
                <w:sz w:val="24"/>
                <w:szCs w:val="24"/>
              </w:rPr>
              <w:t>подкарантинной</w:t>
            </w:r>
            <w:proofErr w:type="spellEnd"/>
            <w:r>
              <w:rPr>
                <w:rFonts w:ascii="Times New Roman" w:eastAsia="Times New Roman" w:hAnsi="Times New Roman" w:cs="Times New Roman"/>
                <w:sz w:val="24"/>
                <w:szCs w:val="24"/>
              </w:rPr>
              <w:t xml:space="preserve"> продукции, включая все виды фитосанитарных анализов, экспертиз и выдачу заключений</w:t>
            </w:r>
          </w:p>
        </w:tc>
      </w:tr>
      <w:tr w:rsidR="00B52DE3">
        <w:tc>
          <w:tcPr>
            <w:tcW w:w="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lastRenderedPageBreak/>
              <w:t>4.</w:t>
            </w:r>
          </w:p>
        </w:tc>
        <w:tc>
          <w:tcPr>
            <w:tcW w:w="196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Уссурийская районная станция защиты растений</w:t>
            </w:r>
          </w:p>
        </w:tc>
        <w:tc>
          <w:tcPr>
            <w:tcW w:w="201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hanging="108"/>
              <w:jc w:val="center"/>
              <w:rPr>
                <w:rFonts w:ascii="Times New Roman" w:hAnsi="Times New Roman" w:cs="Times New Roman"/>
              </w:rPr>
            </w:pPr>
            <w:r>
              <w:rPr>
                <w:rFonts w:ascii="Times New Roman" w:eastAsia="Times New Roman" w:hAnsi="Times New Roman" w:cs="Times New Roman"/>
                <w:sz w:val="24"/>
                <w:szCs w:val="24"/>
              </w:rPr>
              <w:t>ул. Уссурийская, 9</w:t>
            </w:r>
          </w:p>
        </w:tc>
        <w:tc>
          <w:tcPr>
            <w:tcW w:w="500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Определение вредных с/</w:t>
            </w:r>
            <w:proofErr w:type="spellStart"/>
            <w:r>
              <w:rPr>
                <w:rFonts w:ascii="Times New Roman" w:eastAsia="Times New Roman" w:hAnsi="Times New Roman" w:cs="Times New Roman"/>
                <w:sz w:val="24"/>
                <w:szCs w:val="24"/>
              </w:rPr>
              <w:t>х</w:t>
            </w:r>
            <w:proofErr w:type="spellEnd"/>
            <w:r>
              <w:rPr>
                <w:rFonts w:ascii="Times New Roman" w:eastAsia="Times New Roman" w:hAnsi="Times New Roman" w:cs="Times New Roman"/>
                <w:sz w:val="24"/>
                <w:szCs w:val="24"/>
              </w:rPr>
              <w:t xml:space="preserve"> объектов;</w:t>
            </w:r>
          </w:p>
          <w:p w:rsidR="00B52DE3" w:rsidRDefault="00DE73E3">
            <w:pPr>
              <w:widowControl w:val="0"/>
              <w:tabs>
                <w:tab w:val="left" w:pos="301"/>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Разработка рекомендаций по снижению их вредоносности или уничтожению</w:t>
            </w:r>
          </w:p>
        </w:tc>
      </w:tr>
      <w:tr w:rsidR="00B52DE3">
        <w:tc>
          <w:tcPr>
            <w:tcW w:w="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5.</w:t>
            </w:r>
          </w:p>
        </w:tc>
        <w:tc>
          <w:tcPr>
            <w:tcW w:w="196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Филиал ФГУЗ «Центр гигиены</w:t>
            </w:r>
          </w:p>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и эпидемиологии</w:t>
            </w:r>
          </w:p>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в Приморском крае»</w:t>
            </w:r>
          </w:p>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в г. Уссурийске</w:t>
            </w:r>
          </w:p>
          <w:p w:rsidR="00B52DE3" w:rsidRDefault="00B52DE3">
            <w:pPr>
              <w:widowControl w:val="0"/>
              <w:spacing w:after="0" w:line="240" w:lineRule="auto"/>
              <w:jc w:val="both"/>
              <w:rPr>
                <w:rFonts w:ascii="Times New Roman" w:hAnsi="Times New Roman" w:cs="Times New Roman"/>
                <w:sz w:val="24"/>
                <w:szCs w:val="24"/>
              </w:rPr>
            </w:pPr>
          </w:p>
        </w:tc>
        <w:tc>
          <w:tcPr>
            <w:tcW w:w="201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ind w:hanging="108"/>
              <w:jc w:val="center"/>
              <w:rPr>
                <w:rFonts w:ascii="Times New Roman" w:hAnsi="Times New Roman" w:cs="Times New Roman"/>
              </w:rPr>
            </w:pPr>
            <w:r>
              <w:rPr>
                <w:rFonts w:ascii="Times New Roman" w:eastAsia="Times New Roman" w:hAnsi="Times New Roman" w:cs="Times New Roman"/>
                <w:sz w:val="24"/>
                <w:szCs w:val="24"/>
              </w:rPr>
              <w:t>ул. Комсомольская, 40</w:t>
            </w:r>
          </w:p>
          <w:p w:rsidR="00B52DE3" w:rsidRDefault="00B52DE3">
            <w:pPr>
              <w:widowControl w:val="0"/>
              <w:spacing w:after="0" w:line="240" w:lineRule="auto"/>
              <w:ind w:hanging="108"/>
              <w:jc w:val="center"/>
              <w:rPr>
                <w:rFonts w:ascii="Times New Roman" w:hAnsi="Times New Roman" w:cs="Times New Roman"/>
                <w:sz w:val="24"/>
                <w:szCs w:val="24"/>
              </w:rPr>
            </w:pPr>
          </w:p>
        </w:tc>
        <w:tc>
          <w:tcPr>
            <w:tcW w:w="500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tabs>
                <w:tab w:val="left" w:pos="0"/>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Проведение санитарно-эпидемиологической разведки в очагах массового поражения (сбор, обобщение и анализ информации о биологическом (бактериологическом), химическом и радиационном заражении);</w:t>
            </w:r>
          </w:p>
          <w:p w:rsidR="00B52DE3" w:rsidRDefault="00DE73E3">
            <w:pPr>
              <w:widowControl w:val="0"/>
              <w:tabs>
                <w:tab w:val="left" w:pos="0"/>
                <w:tab w:val="left" w:pos="221"/>
                <w:tab w:val="left" w:pos="372"/>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Установление возбудителей инфекционных заболеваний при ЧС мирного времени в пробах, отобранных из объектов окружающей среды, продовольствия, питьевой воды, пищевого сырья, материалов, взятых от больных и трупов людей;</w:t>
            </w:r>
          </w:p>
          <w:p w:rsidR="00B52DE3" w:rsidRDefault="00DE73E3">
            <w:pPr>
              <w:widowControl w:val="0"/>
              <w:tabs>
                <w:tab w:val="left" w:pos="0"/>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осуществление идентификации выделенных штаммов микроорганизмов и токсинов;</w:t>
            </w:r>
          </w:p>
          <w:p w:rsidR="00B52DE3" w:rsidRDefault="00DE73E3">
            <w:pPr>
              <w:widowControl w:val="0"/>
              <w:tabs>
                <w:tab w:val="left" w:pos="0"/>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проведение санитарной экспертизы продовольствия, питьевой воды, пищевого сырья, зараженных радиоактивными веществами, отравляющими веществами, сильнодействующими ядовитыми веществами, бактериальными существами;</w:t>
            </w:r>
          </w:p>
          <w:p w:rsidR="00B52DE3" w:rsidRDefault="00DE73E3">
            <w:pPr>
              <w:widowControl w:val="0"/>
              <w:tabs>
                <w:tab w:val="left" w:pos="0"/>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Измерения мощности доз радиоактивного излучения на местности в районе места расположения;</w:t>
            </w:r>
          </w:p>
          <w:p w:rsidR="00B52DE3" w:rsidRDefault="00DE73E3">
            <w:pPr>
              <w:widowControl w:val="0"/>
              <w:tabs>
                <w:tab w:val="left" w:pos="0"/>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определение удельной и объемной активности радионуклидов в пробах продовольствия, пищевого сырья и контролируемых объектах;</w:t>
            </w:r>
          </w:p>
          <w:p w:rsidR="00B52DE3" w:rsidRDefault="00DE73E3">
            <w:pPr>
              <w:widowControl w:val="0"/>
              <w:tabs>
                <w:tab w:val="left" w:pos="0"/>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определение на контролируемых объектах зараженности продовольствия, питьевой воды, пищевого сырья отравляющими веществами, сильнодействующими ядовитыми веществами, осуществление их окончательной идентификации;</w:t>
            </w:r>
          </w:p>
          <w:p w:rsidR="00B52DE3" w:rsidRDefault="00DE73E3">
            <w:pPr>
              <w:widowControl w:val="0"/>
              <w:tabs>
                <w:tab w:val="left" w:pos="320"/>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определение границ зон заражения отравляющими веществами и сильнодействующими ядовитыми веществами на контролируемой территории.</w:t>
            </w:r>
          </w:p>
        </w:tc>
      </w:tr>
      <w:tr w:rsidR="00B52DE3">
        <w:tc>
          <w:tcPr>
            <w:tcW w:w="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lastRenderedPageBreak/>
              <w:t>6.</w:t>
            </w:r>
          </w:p>
        </w:tc>
        <w:tc>
          <w:tcPr>
            <w:tcW w:w="196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Метеостанция «Приморская Г-1»</w:t>
            </w:r>
          </w:p>
        </w:tc>
        <w:tc>
          <w:tcPr>
            <w:tcW w:w="201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 xml:space="preserve">с. </w:t>
            </w:r>
            <w:proofErr w:type="spellStart"/>
            <w:r>
              <w:rPr>
                <w:rFonts w:ascii="Times New Roman" w:eastAsia="Times New Roman" w:hAnsi="Times New Roman" w:cs="Times New Roman"/>
                <w:sz w:val="24"/>
                <w:szCs w:val="24"/>
              </w:rPr>
              <w:t>Каймановка</w:t>
            </w:r>
            <w:proofErr w:type="spellEnd"/>
            <w:r>
              <w:rPr>
                <w:rFonts w:ascii="Times New Roman" w:eastAsia="Times New Roman" w:hAnsi="Times New Roman" w:cs="Times New Roman"/>
                <w:sz w:val="24"/>
                <w:szCs w:val="24"/>
              </w:rPr>
              <w:t>,</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 xml:space="preserve"> ул. Речная, 6</w:t>
            </w:r>
          </w:p>
        </w:tc>
        <w:tc>
          <w:tcPr>
            <w:tcW w:w="500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tabs>
                <w:tab w:val="left" w:pos="252"/>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Гидрометеорологические наблюдения (контроль за состоянием и уровнем воды в реках).</w:t>
            </w:r>
          </w:p>
          <w:p w:rsidR="00B52DE3" w:rsidRDefault="00DE73E3">
            <w:pPr>
              <w:widowControl w:val="0"/>
              <w:tabs>
                <w:tab w:val="left" w:pos="252"/>
              </w:tabs>
              <w:spacing w:after="0" w:line="240" w:lineRule="auto"/>
              <w:jc w:val="both"/>
              <w:rPr>
                <w:rFonts w:ascii="Times New Roman" w:hAnsi="Times New Roman" w:cs="Times New Roman"/>
              </w:rPr>
            </w:pPr>
            <w:r>
              <w:rPr>
                <w:rFonts w:ascii="Times New Roman" w:eastAsia="Times New Roman" w:hAnsi="Times New Roman" w:cs="Times New Roman"/>
                <w:sz w:val="24"/>
                <w:szCs w:val="24"/>
              </w:rPr>
              <w:t>Наблюдения за загрязнением окружающей среды</w:t>
            </w:r>
          </w:p>
        </w:tc>
      </w:tr>
      <w:tr w:rsidR="00B52DE3">
        <w:tc>
          <w:tcPr>
            <w:tcW w:w="55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7.</w:t>
            </w:r>
          </w:p>
        </w:tc>
        <w:tc>
          <w:tcPr>
            <w:tcW w:w="196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 xml:space="preserve"> ФГУЗ «Приморская</w:t>
            </w:r>
          </w:p>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 xml:space="preserve"> противочумная станция</w:t>
            </w:r>
          </w:p>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Роспотребнадзора</w:t>
            </w:r>
            <w:proofErr w:type="spellEnd"/>
            <w:r>
              <w:rPr>
                <w:rFonts w:ascii="Times New Roman" w:eastAsia="Times New Roman" w:hAnsi="Times New Roman" w:cs="Times New Roman"/>
                <w:sz w:val="24"/>
                <w:szCs w:val="24"/>
              </w:rPr>
              <w:t xml:space="preserve"> в</w:t>
            </w:r>
          </w:p>
          <w:p w:rsidR="00B52DE3" w:rsidRDefault="00DE73E3">
            <w:pPr>
              <w:widowControl w:val="0"/>
              <w:spacing w:after="0" w:line="240" w:lineRule="auto"/>
              <w:rPr>
                <w:rFonts w:ascii="Times New Roman" w:hAnsi="Times New Roman" w:cs="Times New Roman"/>
              </w:rPr>
            </w:pPr>
            <w:r>
              <w:rPr>
                <w:rFonts w:ascii="Times New Roman" w:eastAsia="Times New Roman" w:hAnsi="Times New Roman" w:cs="Times New Roman"/>
                <w:sz w:val="24"/>
                <w:szCs w:val="24"/>
              </w:rPr>
              <w:t xml:space="preserve"> Приморском крае»</w:t>
            </w:r>
          </w:p>
        </w:tc>
        <w:tc>
          <w:tcPr>
            <w:tcW w:w="2016"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ул. Дзержинского, 46</w:t>
            </w:r>
          </w:p>
        </w:tc>
        <w:tc>
          <w:tcPr>
            <w:tcW w:w="500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Обеспечение эпидемиологического благополучия населения по карантин</w:t>
            </w:r>
            <w:r w:rsidR="00B742ED">
              <w:rPr>
                <w:rFonts w:ascii="Times New Roman" w:eastAsia="Times New Roman" w:hAnsi="Times New Roman" w:cs="Times New Roman"/>
                <w:sz w:val="24"/>
                <w:szCs w:val="24"/>
              </w:rPr>
              <w:t xml:space="preserve">ным (чума, холера) другим </w:t>
            </w:r>
            <w:proofErr w:type="spellStart"/>
            <w:r w:rsidR="00B742ED">
              <w:rPr>
                <w:rFonts w:ascii="Times New Roman" w:eastAsia="Times New Roman" w:hAnsi="Times New Roman" w:cs="Times New Roman"/>
                <w:sz w:val="24"/>
                <w:szCs w:val="24"/>
              </w:rPr>
              <w:t>особо-</w:t>
            </w:r>
            <w:r>
              <w:rPr>
                <w:rFonts w:ascii="Times New Roman" w:eastAsia="Times New Roman" w:hAnsi="Times New Roman" w:cs="Times New Roman"/>
                <w:sz w:val="24"/>
                <w:szCs w:val="24"/>
              </w:rPr>
              <w:t>опасным</w:t>
            </w:r>
            <w:proofErr w:type="spellEnd"/>
            <w:r>
              <w:rPr>
                <w:rFonts w:ascii="Times New Roman" w:eastAsia="Times New Roman" w:hAnsi="Times New Roman" w:cs="Times New Roman"/>
                <w:sz w:val="24"/>
                <w:szCs w:val="24"/>
              </w:rPr>
              <w:t xml:space="preserve"> и природно-очаговым инфекциям;</w:t>
            </w:r>
          </w:p>
          <w:p w:rsidR="00B52DE3" w:rsidRDefault="00DE73E3">
            <w:pPr>
              <w:widowControl w:val="0"/>
              <w:spacing w:after="0" w:line="240" w:lineRule="auto"/>
              <w:jc w:val="both"/>
              <w:rPr>
                <w:rFonts w:ascii="Times New Roman" w:hAnsi="Times New Roman" w:cs="Times New Roman"/>
              </w:rPr>
            </w:pPr>
            <w:r>
              <w:rPr>
                <w:rFonts w:ascii="Times New Roman" w:eastAsia="Times New Roman" w:hAnsi="Times New Roman" w:cs="Times New Roman"/>
                <w:sz w:val="24"/>
                <w:szCs w:val="24"/>
              </w:rPr>
              <w:t>Обеспечение биологической безопасности при работе с возбудителями инфекционных болезней человека</w:t>
            </w:r>
          </w:p>
        </w:tc>
      </w:tr>
    </w:tbl>
    <w:p w:rsidR="00B52DE3" w:rsidRDefault="00B52DE3">
      <w:pPr>
        <w:widowControl w:val="0"/>
        <w:spacing w:after="0" w:line="220" w:lineRule="exact"/>
        <w:jc w:val="both"/>
        <w:rPr>
          <w:rFonts w:ascii="Times New Roman" w:hAnsi="Times New Roman" w:cs="Times New Roman"/>
          <w:b/>
          <w:iCs/>
          <w:spacing w:val="-3"/>
          <w:sz w:val="28"/>
          <w:szCs w:val="24"/>
        </w:rPr>
      </w:pPr>
    </w:p>
    <w:p w:rsidR="00B52DE3" w:rsidRDefault="00DE73E3">
      <w:pPr>
        <w:widowControl w:val="0"/>
        <w:spacing w:after="0" w:line="240" w:lineRule="auto"/>
        <w:ind w:left="709"/>
        <w:jc w:val="center"/>
        <w:rPr>
          <w:rFonts w:ascii="Times New Roman" w:hAnsi="Times New Roman" w:cs="Times New Roman"/>
        </w:rPr>
      </w:pPr>
      <w:r>
        <w:rPr>
          <w:rFonts w:ascii="Times New Roman" w:eastAsia="Times New Roman" w:hAnsi="Times New Roman" w:cs="Times New Roman"/>
          <w:b/>
          <w:bCs/>
          <w:sz w:val="28"/>
          <w:szCs w:val="24"/>
        </w:rPr>
        <w:t>Обобщенный состав учреждений СНЛК</w:t>
      </w:r>
    </w:p>
    <w:p w:rsidR="00B52DE3" w:rsidRDefault="00B52DE3">
      <w:pPr>
        <w:widowControl w:val="0"/>
        <w:spacing w:after="0" w:line="240" w:lineRule="auto"/>
        <w:ind w:left="709"/>
        <w:jc w:val="center"/>
        <w:rPr>
          <w:rFonts w:ascii="Times New Roman" w:hAnsi="Times New Roman" w:cs="Times New Roman"/>
          <w:b/>
          <w:sz w:val="24"/>
          <w:szCs w:val="24"/>
        </w:rPr>
      </w:pPr>
    </w:p>
    <w:tbl>
      <w:tblPr>
        <w:tblW w:w="9540" w:type="dxa"/>
        <w:tblInd w:w="-4" w:type="dxa"/>
        <w:tblLayout w:type="fixed"/>
        <w:tblLook w:val="04A0"/>
      </w:tblPr>
      <w:tblGrid>
        <w:gridCol w:w="1991"/>
        <w:gridCol w:w="2169"/>
        <w:gridCol w:w="2047"/>
        <w:gridCol w:w="1219"/>
        <w:gridCol w:w="1015"/>
        <w:gridCol w:w="1099"/>
      </w:tblGrid>
      <w:tr w:rsidR="00B52DE3">
        <w:trPr>
          <w:trHeight w:val="992"/>
        </w:trPr>
        <w:tc>
          <w:tcPr>
            <w:tcW w:w="199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rPr>
              <w:t>Муниципальное образование</w:t>
            </w:r>
          </w:p>
        </w:tc>
        <w:tc>
          <w:tcPr>
            <w:tcW w:w="216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rPr>
              <w:t xml:space="preserve">ФГУЗ ТО </w:t>
            </w:r>
            <w:proofErr w:type="spellStart"/>
            <w:r>
              <w:rPr>
                <w:rFonts w:ascii="Times New Roman" w:eastAsia="Times New Roman" w:hAnsi="Times New Roman" w:cs="Times New Roman"/>
                <w:b/>
              </w:rPr>
              <w:t>Роспотребнадзора</w:t>
            </w:r>
            <w:proofErr w:type="spellEnd"/>
          </w:p>
        </w:tc>
        <w:tc>
          <w:tcPr>
            <w:tcW w:w="204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rPr>
              <w:t>Ветлаборатории, станции</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rPr>
              <w:t>Станции защиты растений</w:t>
            </w:r>
          </w:p>
        </w:tc>
        <w:tc>
          <w:tcPr>
            <w:tcW w:w="101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rPr>
              <w:t>УГМС, посты</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b/>
              </w:rPr>
              <w:t>Всего учреждений  СНЛК</w:t>
            </w:r>
          </w:p>
        </w:tc>
      </w:tr>
      <w:tr w:rsidR="00B52DE3">
        <w:trPr>
          <w:trHeight w:val="405"/>
        </w:trPr>
        <w:tc>
          <w:tcPr>
            <w:tcW w:w="199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1</w:t>
            </w:r>
          </w:p>
        </w:tc>
        <w:tc>
          <w:tcPr>
            <w:tcW w:w="216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2</w:t>
            </w:r>
          </w:p>
        </w:tc>
        <w:tc>
          <w:tcPr>
            <w:tcW w:w="2047"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3</w:t>
            </w:r>
          </w:p>
        </w:tc>
        <w:tc>
          <w:tcPr>
            <w:tcW w:w="121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4</w:t>
            </w:r>
          </w:p>
        </w:tc>
        <w:tc>
          <w:tcPr>
            <w:tcW w:w="1015"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5</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6</w:t>
            </w:r>
          </w:p>
        </w:tc>
      </w:tr>
      <w:tr w:rsidR="00B52DE3">
        <w:trPr>
          <w:trHeight w:val="446"/>
        </w:trPr>
        <w:tc>
          <w:tcPr>
            <w:tcW w:w="1990"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Уссурийский городской округ</w:t>
            </w:r>
          </w:p>
        </w:tc>
        <w:tc>
          <w:tcPr>
            <w:tcW w:w="21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2</w:t>
            </w:r>
          </w:p>
        </w:tc>
        <w:tc>
          <w:tcPr>
            <w:tcW w:w="20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c>
          <w:tcPr>
            <w:tcW w:w="12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2</w:t>
            </w:r>
          </w:p>
        </w:tc>
        <w:tc>
          <w:tcPr>
            <w:tcW w:w="10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2</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7</w:t>
            </w:r>
            <w:bookmarkStart w:id="159" w:name="bookmark10"/>
            <w:bookmarkEnd w:id="159"/>
          </w:p>
        </w:tc>
      </w:tr>
    </w:tbl>
    <w:p w:rsidR="00B52DE3" w:rsidRDefault="00B52DE3">
      <w:pPr>
        <w:widowControl w:val="0"/>
        <w:tabs>
          <w:tab w:val="left" w:pos="1340"/>
        </w:tabs>
        <w:spacing w:after="0" w:line="263" w:lineRule="exact"/>
        <w:ind w:left="709"/>
        <w:jc w:val="both"/>
        <w:outlineLvl w:val="0"/>
        <w:rPr>
          <w:rFonts w:ascii="Times New Roman" w:hAnsi="Times New Roman" w:cs="Times New Roman"/>
          <w:b/>
          <w:bCs/>
          <w:spacing w:val="-3"/>
          <w:sz w:val="24"/>
          <w:szCs w:val="24"/>
        </w:rPr>
      </w:pPr>
    </w:p>
    <w:p w:rsidR="00B52DE3" w:rsidRDefault="00B52DE3">
      <w:pPr>
        <w:widowControl w:val="0"/>
        <w:tabs>
          <w:tab w:val="left" w:pos="1340"/>
        </w:tabs>
        <w:spacing w:after="0" w:line="263" w:lineRule="exact"/>
        <w:ind w:left="709"/>
        <w:jc w:val="both"/>
        <w:outlineLvl w:val="0"/>
        <w:rPr>
          <w:rFonts w:ascii="Times New Roman" w:hAnsi="Times New Roman" w:cs="Times New Roman"/>
          <w:b/>
          <w:bCs/>
          <w:spacing w:val="-3"/>
          <w:sz w:val="24"/>
          <w:szCs w:val="24"/>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 xml:space="preserve">Состояние обеспеченности населения, проживающего в зонах вероятных ЧС, медицинскими и противоэпидемическими средствами защиты, средствами профилактики эпидемий, а также имуществом </w:t>
      </w:r>
      <w:r>
        <w:rPr>
          <w:rFonts w:ascii="Times New Roman" w:eastAsia="Times New Roman" w:hAnsi="Times New Roman" w:cs="Times New Roman"/>
          <w:sz w:val="28"/>
          <w:szCs w:val="24"/>
        </w:rPr>
        <w:br/>
        <w:t>и оборудованием¸ необходимым для развертывания больничной базы:</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создан резерв медицинских и противоэпидемических средств защиты, средствами профилактики эпидемий среди населения Уссурийского городского округа (100%);</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 xml:space="preserve">имеется имущество и оборудование, необходимое для развертывания больничной базы на 1,225 тыс. </w:t>
      </w:r>
      <w:proofErr w:type="spellStart"/>
      <w:r>
        <w:rPr>
          <w:rFonts w:ascii="Times New Roman" w:eastAsia="Times New Roman" w:hAnsi="Times New Roman" w:cs="Times New Roman"/>
          <w:sz w:val="28"/>
          <w:szCs w:val="24"/>
        </w:rPr>
        <w:t>койко</w:t>
      </w:r>
      <w:proofErr w:type="spellEnd"/>
      <w:r>
        <w:rPr>
          <w:rFonts w:ascii="Times New Roman" w:eastAsia="Times New Roman" w:hAnsi="Times New Roman" w:cs="Times New Roman"/>
          <w:sz w:val="28"/>
          <w:szCs w:val="24"/>
        </w:rPr>
        <w:t>/мест;</w:t>
      </w:r>
    </w:p>
    <w:p w:rsidR="00B52DE3" w:rsidRDefault="00DE73E3">
      <w:pPr>
        <w:widowControl w:val="0"/>
        <w:spacing w:after="0" w:line="360" w:lineRule="auto"/>
        <w:ind w:firstLine="709"/>
        <w:jc w:val="both"/>
        <w:rPr>
          <w:rFonts w:ascii="Times New Roman" w:eastAsia="Times New Roman" w:hAnsi="Times New Roman" w:cs="Times New Roman"/>
          <w:sz w:val="32"/>
          <w:szCs w:val="32"/>
        </w:rPr>
      </w:pPr>
      <w:r>
        <w:rPr>
          <w:rFonts w:ascii="Times New Roman" w:eastAsia="Times New Roman" w:hAnsi="Times New Roman" w:cs="Times New Roman"/>
          <w:sz w:val="28"/>
          <w:szCs w:val="24"/>
        </w:rPr>
        <w:t>средства медицинской и противоэпидемиологической защиты</w:t>
      </w:r>
      <w:r>
        <w:rPr>
          <w:rFonts w:ascii="Times New Roman" w:eastAsia="Times New Roman" w:hAnsi="Times New Roman" w:cs="Times New Roman"/>
          <w:sz w:val="32"/>
          <w:szCs w:val="28"/>
        </w:rPr>
        <w:t xml:space="preserve"> </w:t>
      </w:r>
      <w:r>
        <w:rPr>
          <w:rFonts w:ascii="Times New Roman" w:eastAsia="Times New Roman" w:hAnsi="Times New Roman" w:cs="Times New Roman"/>
          <w:sz w:val="28"/>
          <w:szCs w:val="24"/>
        </w:rPr>
        <w:t xml:space="preserve">и профилактики эпидемий созданы для оказания медицинской помощи 100% поражённым и больным в течение трех суток.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lastRenderedPageBreak/>
        <w:t xml:space="preserve">Разработан и утвержден порядок отселения людей из населенных пунктов, сопряженных с лесными массивами и временного его размещения. </w:t>
      </w:r>
    </w:p>
    <w:p w:rsidR="00B52DE3" w:rsidRDefault="00DE73E3">
      <w:pPr>
        <w:widowControl w:val="0"/>
        <w:tabs>
          <w:tab w:val="left" w:pos="3300"/>
          <w:tab w:val="center" w:pos="4678"/>
          <w:tab w:val="left" w:pos="7155"/>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В ходе тренировок по ликвидации чрезвычайной ситуации природного характера были отработаны вопросы:</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взаимодействие эвакуационных органов Уссурийского городского округа;</w:t>
      </w:r>
    </w:p>
    <w:p w:rsidR="00B52DE3" w:rsidRDefault="00DE73E3">
      <w:pPr>
        <w:widowControl w:val="0"/>
        <w:tabs>
          <w:tab w:val="left" w:pos="3300"/>
          <w:tab w:val="center" w:pos="4678"/>
          <w:tab w:val="left" w:pos="7155"/>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 xml:space="preserve">вывоз населения из зоны ЧС; </w:t>
      </w:r>
    </w:p>
    <w:p w:rsidR="00B52DE3" w:rsidRDefault="00DE73E3">
      <w:pPr>
        <w:widowControl w:val="0"/>
        <w:tabs>
          <w:tab w:val="left" w:pos="3300"/>
          <w:tab w:val="center" w:pos="4678"/>
          <w:tab w:val="left" w:pos="7155"/>
        </w:tabs>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прием, размещение и всестороннее обеспечение эвакуированного населения.</w:t>
      </w:r>
    </w:p>
    <w:p w:rsidR="00B52DE3" w:rsidRDefault="00B52DE3">
      <w:pPr>
        <w:widowControl w:val="0"/>
        <w:spacing w:after="0" w:line="240" w:lineRule="auto"/>
        <w:ind w:firstLine="709"/>
        <w:jc w:val="both"/>
        <w:rPr>
          <w:rFonts w:ascii="Times New Roman" w:hAnsi="Times New Roman" w:cs="Times New Roman"/>
          <w:sz w:val="24"/>
          <w:szCs w:val="24"/>
        </w:rPr>
      </w:pPr>
    </w:p>
    <w:p w:rsidR="00B52DE3" w:rsidRDefault="00B52DE3">
      <w:pPr>
        <w:widowControl w:val="0"/>
        <w:spacing w:after="0" w:line="240" w:lineRule="auto"/>
        <w:ind w:firstLine="709"/>
        <w:jc w:val="both"/>
        <w:rPr>
          <w:rFonts w:ascii="Times New Roman" w:hAnsi="Times New Roman" w:cs="Times New Roman"/>
          <w:sz w:val="24"/>
          <w:szCs w:val="24"/>
        </w:rPr>
      </w:pPr>
    </w:p>
    <w:p w:rsidR="00B52DE3" w:rsidRDefault="00DE73E3">
      <w:pPr>
        <w:widowControl w:val="0"/>
        <w:tabs>
          <w:tab w:val="left" w:pos="6740"/>
        </w:tabs>
        <w:spacing w:after="0" w:line="240" w:lineRule="auto"/>
        <w:ind w:firstLine="709"/>
        <w:jc w:val="center"/>
        <w:rPr>
          <w:rFonts w:ascii="Times New Roman" w:hAnsi="Times New Roman" w:cs="Times New Roman"/>
        </w:rPr>
      </w:pPr>
      <w:r>
        <w:rPr>
          <w:rFonts w:ascii="Times New Roman" w:eastAsia="Times New Roman" w:hAnsi="Times New Roman" w:cs="Times New Roman"/>
          <w:b/>
          <w:bCs/>
          <w:sz w:val="28"/>
          <w:szCs w:val="24"/>
        </w:rPr>
        <w:t>Сведения о пунктах временного размещения населения</w:t>
      </w:r>
    </w:p>
    <w:p w:rsidR="00B52DE3" w:rsidRDefault="00B52DE3">
      <w:pPr>
        <w:widowControl w:val="0"/>
        <w:tabs>
          <w:tab w:val="left" w:pos="6740"/>
        </w:tabs>
        <w:spacing w:after="0" w:line="240" w:lineRule="auto"/>
        <w:ind w:firstLine="709"/>
        <w:jc w:val="center"/>
        <w:rPr>
          <w:rFonts w:ascii="Times New Roman" w:hAnsi="Times New Roman" w:cs="Times New Roman"/>
          <w:sz w:val="24"/>
          <w:szCs w:val="24"/>
        </w:rPr>
      </w:pPr>
    </w:p>
    <w:tbl>
      <w:tblPr>
        <w:tblW w:w="9114" w:type="dxa"/>
        <w:tblInd w:w="278" w:type="dxa"/>
        <w:tblLayout w:type="fixed"/>
        <w:tblLook w:val="04A0"/>
      </w:tblPr>
      <w:tblGrid>
        <w:gridCol w:w="2562"/>
        <w:gridCol w:w="1140"/>
        <w:gridCol w:w="1409"/>
        <w:gridCol w:w="1253"/>
        <w:gridCol w:w="1252"/>
        <w:gridCol w:w="1498"/>
      </w:tblGrid>
      <w:tr w:rsidR="00B52DE3">
        <w:trPr>
          <w:trHeight w:val="770"/>
        </w:trPr>
        <w:tc>
          <w:tcPr>
            <w:tcW w:w="256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Муниципальное образование</w:t>
            </w:r>
          </w:p>
          <w:p w:rsidR="00B52DE3" w:rsidRDefault="00B52DE3">
            <w:pPr>
              <w:widowControl w:val="0"/>
              <w:spacing w:after="0" w:line="240" w:lineRule="auto"/>
              <w:jc w:val="center"/>
              <w:rPr>
                <w:rFonts w:ascii="Times New Roman" w:hAnsi="Times New Roman" w:cs="Times New Roman"/>
              </w:rPr>
            </w:pPr>
          </w:p>
        </w:tc>
        <w:tc>
          <w:tcPr>
            <w:tcW w:w="11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Кол-во ПВР</w:t>
            </w:r>
          </w:p>
          <w:p w:rsidR="00B52DE3" w:rsidRDefault="00B52DE3">
            <w:pPr>
              <w:widowControl w:val="0"/>
              <w:spacing w:after="0" w:line="240" w:lineRule="auto"/>
              <w:jc w:val="center"/>
              <w:rPr>
                <w:rFonts w:ascii="Times New Roman" w:hAnsi="Times New Roman" w:cs="Times New Roman"/>
              </w:rPr>
            </w:pPr>
          </w:p>
        </w:tc>
        <w:tc>
          <w:tcPr>
            <w:tcW w:w="14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proofErr w:type="spellStart"/>
            <w:r>
              <w:rPr>
                <w:rFonts w:ascii="Times New Roman" w:eastAsia="Times New Roman" w:hAnsi="Times New Roman" w:cs="Times New Roman"/>
              </w:rPr>
              <w:t>Вмести-мость</w:t>
            </w:r>
            <w:proofErr w:type="spellEnd"/>
            <w:r>
              <w:rPr>
                <w:rFonts w:ascii="Times New Roman" w:eastAsia="Times New Roman" w:hAnsi="Times New Roman" w:cs="Times New Roman"/>
              </w:rPr>
              <w:t xml:space="preserve"> (чел.)</w:t>
            </w:r>
          </w:p>
          <w:p w:rsidR="00B52DE3" w:rsidRDefault="00B52DE3">
            <w:pPr>
              <w:widowControl w:val="0"/>
              <w:spacing w:after="0" w:line="240" w:lineRule="auto"/>
              <w:jc w:val="center"/>
              <w:rPr>
                <w:rFonts w:ascii="Times New Roman" w:hAnsi="Times New Roman" w:cs="Times New Roman"/>
              </w:rPr>
            </w:pPr>
          </w:p>
        </w:tc>
        <w:tc>
          <w:tcPr>
            <w:tcW w:w="2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ind w:left="-45" w:right="-90"/>
              <w:jc w:val="center"/>
              <w:rPr>
                <w:rFonts w:ascii="Times New Roman" w:hAnsi="Times New Roman" w:cs="Times New Roman"/>
              </w:rPr>
            </w:pPr>
            <w:r>
              <w:rPr>
                <w:rFonts w:ascii="Times New Roman" w:eastAsia="Times New Roman" w:hAnsi="Times New Roman" w:cs="Times New Roman"/>
              </w:rPr>
              <w:t>Кол-во населения, фактически размещённого в ПВР</w:t>
            </w:r>
          </w:p>
        </w:tc>
        <w:tc>
          <w:tcPr>
            <w:tcW w:w="149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rPr>
              <w:t>Средний срок пребывания в ПВР (сутки)</w:t>
            </w:r>
          </w:p>
        </w:tc>
      </w:tr>
      <w:tr w:rsidR="00B52DE3">
        <w:trPr>
          <w:trHeight w:val="577"/>
        </w:trPr>
        <w:tc>
          <w:tcPr>
            <w:tcW w:w="2561"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rFonts w:ascii="Times New Roman" w:hAnsi="Times New Roman"/>
              </w:rPr>
            </w:pPr>
          </w:p>
        </w:tc>
        <w:tc>
          <w:tcPr>
            <w:tcW w:w="1140"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rFonts w:ascii="Times New Roman" w:hAnsi="Times New Roman"/>
              </w:rPr>
            </w:pPr>
          </w:p>
        </w:tc>
        <w:tc>
          <w:tcPr>
            <w:tcW w:w="1409"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rFonts w:ascii="Times New Roman" w:hAnsi="Times New Roman"/>
              </w:rPr>
            </w:pPr>
          </w:p>
        </w:tc>
        <w:tc>
          <w:tcPr>
            <w:tcW w:w="1253"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Всего</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(чел.)</w:t>
            </w:r>
          </w:p>
        </w:tc>
        <w:tc>
          <w:tcPr>
            <w:tcW w:w="1252" w:type="dxa"/>
            <w:tcBorders>
              <w:top w:val="single" w:sz="4" w:space="0" w:color="000000"/>
              <w:left w:val="single" w:sz="4" w:space="0" w:color="000000"/>
              <w:bottom w:val="single" w:sz="4" w:space="0" w:color="000000"/>
              <w:right w:val="single" w:sz="4" w:space="0" w:color="000000"/>
            </w:tcBorders>
            <w:shd w:val="clear" w:color="auto" w:fill="FFFFFF"/>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4"/>
                <w:szCs w:val="24"/>
              </w:rPr>
              <w:t>Из них детей</w:t>
            </w:r>
          </w:p>
        </w:tc>
        <w:tc>
          <w:tcPr>
            <w:tcW w:w="1498" w:type="dxa"/>
            <w:vMerge/>
            <w:tcBorders>
              <w:top w:val="single" w:sz="4" w:space="0" w:color="000000"/>
              <w:left w:val="single" w:sz="4" w:space="0" w:color="000000"/>
              <w:bottom w:val="single" w:sz="4" w:space="0" w:color="000000"/>
              <w:right w:val="single" w:sz="4" w:space="0" w:color="000000"/>
            </w:tcBorders>
            <w:shd w:val="clear" w:color="auto" w:fill="FFFFFF"/>
          </w:tcPr>
          <w:p w:rsidR="00B52DE3" w:rsidRDefault="00B52DE3">
            <w:pPr>
              <w:rPr>
                <w:rFonts w:ascii="Times New Roman" w:hAnsi="Times New Roman"/>
              </w:rPr>
            </w:pPr>
          </w:p>
        </w:tc>
      </w:tr>
      <w:tr w:rsidR="00B52DE3">
        <w:trPr>
          <w:trHeight w:val="465"/>
        </w:trPr>
        <w:tc>
          <w:tcPr>
            <w:tcW w:w="25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Уссурийский</w:t>
            </w:r>
          </w:p>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городской округ</w:t>
            </w:r>
          </w:p>
        </w:tc>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1</w:t>
            </w:r>
          </w:p>
        </w:tc>
        <w:tc>
          <w:tcPr>
            <w:tcW w:w="1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210</w:t>
            </w:r>
          </w:p>
        </w:tc>
        <w:tc>
          <w:tcPr>
            <w:tcW w:w="1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ind w:left="-315" w:firstLine="315"/>
              <w:jc w:val="center"/>
              <w:rPr>
                <w:rFonts w:ascii="Times New Roman" w:hAnsi="Times New Roman" w:cs="Times New Roman"/>
              </w:rPr>
            </w:pPr>
            <w:r>
              <w:rPr>
                <w:rFonts w:ascii="Times New Roman" w:eastAsia="Times New Roman" w:hAnsi="Times New Roman" w:cs="Times New Roman"/>
                <w:sz w:val="20"/>
                <w:szCs w:val="20"/>
              </w:rPr>
              <w:t>0</w:t>
            </w:r>
          </w:p>
        </w:tc>
        <w:tc>
          <w:tcPr>
            <w:tcW w:w="1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spacing w:after="0" w:line="240" w:lineRule="auto"/>
              <w:jc w:val="center"/>
              <w:rPr>
                <w:rFonts w:ascii="Times New Roman" w:hAnsi="Times New Roman" w:cs="Times New Roman"/>
              </w:rPr>
            </w:pPr>
            <w:r>
              <w:rPr>
                <w:rFonts w:ascii="Times New Roman" w:eastAsia="Times New Roman" w:hAnsi="Times New Roman" w:cs="Times New Roman"/>
                <w:sz w:val="20"/>
                <w:szCs w:val="20"/>
              </w:rPr>
              <w:t>0</w:t>
            </w:r>
          </w:p>
        </w:tc>
      </w:tr>
    </w:tbl>
    <w:p w:rsidR="00B52DE3" w:rsidRDefault="00DE73E3">
      <w:pPr>
        <w:widowControl w:val="0"/>
        <w:spacing w:after="0" w:line="240" w:lineRule="auto"/>
        <w:ind w:firstLine="567"/>
        <w:jc w:val="both"/>
        <w:rPr>
          <w:rFonts w:ascii="Times New Roman" w:hAnsi="Times New Roman" w:cs="Times New Roman"/>
        </w:rPr>
      </w:pPr>
      <w:r>
        <w:rPr>
          <w:rFonts w:ascii="Times New Roman" w:eastAsia="Times New Roman" w:hAnsi="Times New Roman" w:cs="Times New Roman"/>
          <w:b/>
          <w:sz w:val="24"/>
          <w:szCs w:val="24"/>
        </w:rPr>
        <w:t xml:space="preserve">     </w:t>
      </w:r>
    </w:p>
    <w:p w:rsidR="00B52DE3" w:rsidRDefault="00B52DE3">
      <w:pPr>
        <w:widowControl w:val="0"/>
        <w:spacing w:after="0" w:line="240" w:lineRule="auto"/>
        <w:ind w:firstLine="567"/>
        <w:jc w:val="both"/>
        <w:rPr>
          <w:rFonts w:ascii="Times New Roman" w:hAnsi="Times New Roman" w:cs="Times New Roman"/>
        </w:rPr>
      </w:pPr>
    </w:p>
    <w:p w:rsidR="00B52DE3" w:rsidRDefault="00DE73E3">
      <w:pPr>
        <w:widowControl w:val="0"/>
        <w:spacing w:after="0" w:line="240" w:lineRule="auto"/>
        <w:ind w:firstLine="709"/>
        <w:jc w:val="center"/>
        <w:rPr>
          <w:rFonts w:ascii="Times New Roman" w:hAnsi="Times New Roman" w:cs="Times New Roman"/>
        </w:rPr>
      </w:pPr>
      <w:r>
        <w:rPr>
          <w:rFonts w:ascii="Times New Roman" w:eastAsia="Times New Roman" w:hAnsi="Times New Roman" w:cs="Times New Roman"/>
          <w:b/>
          <w:bCs/>
          <w:sz w:val="28"/>
          <w:szCs w:val="24"/>
        </w:rPr>
        <w:t>Подготовка руководящего состава и работников РСЧС, обучение населения действиям в чрезвычайных ситуациях</w:t>
      </w:r>
    </w:p>
    <w:p w:rsidR="00B52DE3" w:rsidRDefault="00B52DE3">
      <w:pPr>
        <w:widowControl w:val="0"/>
        <w:spacing w:after="0" w:line="240" w:lineRule="auto"/>
        <w:ind w:firstLine="709"/>
        <w:jc w:val="both"/>
        <w:rPr>
          <w:rFonts w:ascii="Times New Roman" w:hAnsi="Times New Roman" w:cs="Times New Roman"/>
          <w:b/>
          <w:bCs/>
          <w:sz w:val="24"/>
          <w:szCs w:val="24"/>
        </w:rPr>
      </w:pPr>
    </w:p>
    <w:p w:rsidR="00B52DE3" w:rsidRDefault="00B52DE3">
      <w:pPr>
        <w:widowControl w:val="0"/>
        <w:spacing w:after="0" w:line="240" w:lineRule="auto"/>
        <w:ind w:firstLine="709"/>
        <w:jc w:val="both"/>
        <w:rPr>
          <w:rFonts w:ascii="Times New Roman" w:hAnsi="Times New Roman" w:cs="Times New Roman"/>
          <w:b/>
          <w:bCs/>
          <w:sz w:val="24"/>
          <w:szCs w:val="24"/>
        </w:rPr>
      </w:pP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Подготовка руководящего состава и работников РСЧС осуществлялась в УМЦ ГОЧС (14 человек), на курсах ГО (653 человек), а также в ходе учений и тренировок.</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Основное внимание в ходе обучения этой категории граждан обращалось на самостоятельное изучение нормативных правовых и планирующих документов, совершенствование практических навыков в ходе выполнения функциональных обязанностей во время проведения учений и тренировок.</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 xml:space="preserve">Рабочие, служащие объектов экономики (далее – работающее население) проходили обучение без отрыва от производственной </w:t>
      </w:r>
      <w:r>
        <w:rPr>
          <w:rFonts w:ascii="Times New Roman" w:eastAsia="Times New Roman" w:hAnsi="Times New Roman" w:cs="Times New Roman"/>
          <w:sz w:val="28"/>
          <w:szCs w:val="24"/>
        </w:rPr>
        <w:lastRenderedPageBreak/>
        <w:t>деятельности как на плановых занятиях по программе обучения, так и путем самостоятельного изучения материала с последующим закреплением полученных знаний и навыков в ходе учений и тренировок.</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В течение учебного года в Уссурийском городском округе на объектах экономики подготовлено и проведено:</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Штабные тренировки в УГО – 2, (490 человек, 70 ед. техники);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штабные тренировки в организациях – 31, (626 человек, 133 ед. техники);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Нештатные формирования по обеспечению выполнения мероприятий по гражданской обороне – 7 (257 человек, 43 ед. техники);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объектовые тренировки в организациях – 79 (1445 человек, 194 ед. техники).</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 xml:space="preserve">Обучение неработающего населения организовано путем периодического проведения с ними бесед, лекций, просмотра кино-видеофильмов в учебно-консультационных пунктах, самостоятельного изучения памяток, прослушивания радиопередач и просмотра телепрограмм по тематике чрезвычайных ситуаций, а также привлечения неработающего населения к участию в учениях и тренировках. </w:t>
      </w:r>
    </w:p>
    <w:p w:rsidR="00B52DE3" w:rsidRDefault="00DE73E3">
      <w:pPr>
        <w:widowControl w:val="0"/>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4"/>
        </w:rPr>
        <w:t xml:space="preserve">Для пропаганды знаний, умений и действий в чрезвычайных ситуациях использовались электронные и печатные средства массовой информации, памятки и учебная литература. Всего в учебном году прошло подготовку </w:t>
      </w:r>
      <w:r>
        <w:rPr>
          <w:rFonts w:ascii="Times New Roman" w:eastAsia="Times New Roman" w:hAnsi="Times New Roman" w:cs="Times New Roman"/>
          <w:sz w:val="28"/>
          <w:szCs w:val="28"/>
        </w:rPr>
        <w:t xml:space="preserve">100% работающего населения. </w:t>
      </w:r>
    </w:p>
    <w:p w:rsidR="00B52DE3" w:rsidRDefault="00B52DE3">
      <w:pPr>
        <w:widowControl w:val="0"/>
        <w:spacing w:after="0" w:line="240" w:lineRule="auto"/>
        <w:ind w:firstLine="709"/>
        <w:jc w:val="both"/>
        <w:rPr>
          <w:rFonts w:ascii="Times New Roman" w:hAnsi="Times New Roman" w:cs="Times New Roman"/>
          <w:b/>
          <w:sz w:val="28"/>
          <w:szCs w:val="28"/>
        </w:rPr>
      </w:pPr>
    </w:p>
    <w:p w:rsidR="00B52DE3" w:rsidRDefault="00DE73E3">
      <w:pPr>
        <w:widowControl w:val="0"/>
        <w:tabs>
          <w:tab w:val="left" w:pos="567"/>
        </w:tabs>
        <w:spacing w:after="0" w:line="240" w:lineRule="auto"/>
        <w:ind w:firstLine="829"/>
        <w:jc w:val="center"/>
        <w:rPr>
          <w:rFonts w:ascii="Times New Roman" w:hAnsi="Times New Roman" w:cs="Times New Roman"/>
          <w:sz w:val="28"/>
          <w:szCs w:val="28"/>
        </w:rPr>
      </w:pPr>
      <w:r>
        <w:rPr>
          <w:rFonts w:ascii="Times New Roman" w:eastAsia="Times New Roman" w:hAnsi="Times New Roman" w:cs="Times New Roman"/>
          <w:b/>
          <w:bCs/>
          <w:sz w:val="28"/>
          <w:szCs w:val="28"/>
        </w:rPr>
        <w:t>Состояние резервов финансовых и материальных ресурсов для ликвидации чрезвычайных ситуаций природного и техногенного характера</w:t>
      </w:r>
    </w:p>
    <w:p w:rsidR="00B52DE3" w:rsidRDefault="00B52DE3">
      <w:pPr>
        <w:widowControl w:val="0"/>
        <w:spacing w:after="0" w:line="240" w:lineRule="auto"/>
        <w:ind w:firstLine="820"/>
        <w:jc w:val="center"/>
        <w:rPr>
          <w:rFonts w:ascii="Times New Roman" w:hAnsi="Times New Roman" w:cs="Times New Roman"/>
          <w:b/>
          <w:bCs/>
          <w:spacing w:val="-3"/>
          <w:sz w:val="28"/>
          <w:szCs w:val="28"/>
        </w:rPr>
      </w:pPr>
    </w:p>
    <w:p w:rsidR="00B52DE3" w:rsidRDefault="00B52DE3">
      <w:pPr>
        <w:widowControl w:val="0"/>
        <w:spacing w:after="0" w:line="240" w:lineRule="auto"/>
        <w:ind w:firstLine="820"/>
        <w:jc w:val="center"/>
        <w:rPr>
          <w:rFonts w:ascii="Times New Roman" w:hAnsi="Times New Roman" w:cs="Times New Roman"/>
          <w:b/>
          <w:bCs/>
          <w:spacing w:val="-3"/>
          <w:sz w:val="28"/>
          <w:szCs w:val="28"/>
        </w:rPr>
      </w:pPr>
    </w:p>
    <w:p w:rsidR="00B52DE3" w:rsidRDefault="00DE73E3">
      <w:pPr>
        <w:widowControl w:val="0"/>
        <w:spacing w:after="0" w:line="220" w:lineRule="exact"/>
        <w:ind w:firstLine="820"/>
        <w:jc w:val="center"/>
        <w:rPr>
          <w:rFonts w:ascii="Times New Roman" w:hAnsi="Times New Roman" w:cs="Times New Roman"/>
          <w:sz w:val="28"/>
          <w:szCs w:val="28"/>
        </w:rPr>
      </w:pPr>
      <w:r>
        <w:rPr>
          <w:rFonts w:ascii="Times New Roman" w:eastAsia="Times New Roman" w:hAnsi="Times New Roman" w:cs="Times New Roman"/>
          <w:b/>
          <w:bCs/>
          <w:spacing w:val="-3"/>
          <w:sz w:val="28"/>
          <w:szCs w:val="28"/>
        </w:rPr>
        <w:t>Сведения о резервах финансовых ресурсов</w:t>
      </w:r>
    </w:p>
    <w:p w:rsidR="00B52DE3" w:rsidRDefault="00B52DE3">
      <w:pPr>
        <w:widowControl w:val="0"/>
        <w:spacing w:after="0" w:line="220" w:lineRule="exact"/>
        <w:ind w:firstLine="702"/>
        <w:jc w:val="center"/>
        <w:rPr>
          <w:rFonts w:ascii="Times New Roman" w:hAnsi="Times New Roman" w:cs="Times New Roman"/>
          <w:b/>
          <w:bCs/>
          <w:spacing w:val="-3"/>
          <w:sz w:val="28"/>
          <w:szCs w:val="28"/>
        </w:rPr>
      </w:pPr>
    </w:p>
    <w:p w:rsidR="00B52DE3" w:rsidRDefault="00B52DE3">
      <w:pPr>
        <w:widowControl w:val="0"/>
        <w:spacing w:after="0" w:line="220" w:lineRule="exact"/>
        <w:ind w:firstLine="702"/>
        <w:jc w:val="center"/>
        <w:rPr>
          <w:rFonts w:ascii="Times New Roman" w:hAnsi="Times New Roman" w:cs="Times New Roman"/>
          <w:b/>
          <w:bCs/>
          <w:spacing w:val="-3"/>
          <w:sz w:val="28"/>
          <w:szCs w:val="28"/>
        </w:rPr>
      </w:pPr>
    </w:p>
    <w:tbl>
      <w:tblPr>
        <w:tblW w:w="9571" w:type="dxa"/>
        <w:tblInd w:w="-113" w:type="dxa"/>
        <w:tblLayout w:type="fixed"/>
        <w:tblLook w:val="04A0"/>
      </w:tblPr>
      <w:tblGrid>
        <w:gridCol w:w="2486"/>
        <w:gridCol w:w="2393"/>
        <w:gridCol w:w="2470"/>
        <w:gridCol w:w="2222"/>
      </w:tblGrid>
      <w:tr w:rsidR="00B52DE3">
        <w:tc>
          <w:tcPr>
            <w:tcW w:w="248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205"/>
              </w:tabs>
              <w:spacing w:after="0" w:line="240" w:lineRule="auto"/>
              <w:ind w:firstLine="649"/>
              <w:jc w:val="center"/>
              <w:rPr>
                <w:rFonts w:ascii="Times New Roman" w:hAnsi="Times New Roman" w:cs="Times New Roman"/>
                <w:sz w:val="28"/>
                <w:szCs w:val="28"/>
              </w:rPr>
            </w:pPr>
            <w:r>
              <w:rPr>
                <w:rFonts w:ascii="Times New Roman" w:eastAsia="Times New Roman" w:hAnsi="Times New Roman" w:cs="Times New Roman"/>
                <w:sz w:val="28"/>
                <w:szCs w:val="28"/>
              </w:rPr>
              <w:t>Муниципаль</w:t>
            </w:r>
            <w:r>
              <w:rPr>
                <w:rFonts w:ascii="Times New Roman" w:eastAsia="Times New Roman" w:hAnsi="Times New Roman" w:cs="Times New Roman"/>
                <w:sz w:val="28"/>
                <w:szCs w:val="28"/>
              </w:rPr>
              <w:lastRenderedPageBreak/>
              <w:t>ное образование</w:t>
            </w:r>
          </w:p>
        </w:tc>
        <w:tc>
          <w:tcPr>
            <w:tcW w:w="708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205"/>
              </w:tabs>
              <w:spacing w:after="0" w:line="240" w:lineRule="auto"/>
              <w:ind w:firstLine="649"/>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Резервы финансовых ресурсов</w:t>
            </w:r>
          </w:p>
        </w:tc>
      </w:tr>
      <w:tr w:rsidR="00B52DE3">
        <w:trPr>
          <w:trHeight w:val="711"/>
        </w:trPr>
        <w:tc>
          <w:tcPr>
            <w:tcW w:w="248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B52DE3">
            <w:pPr>
              <w:rPr>
                <w:rFonts w:ascii="Times New Roman" w:hAnsi="Times New Roman"/>
                <w:sz w:val="28"/>
                <w:szCs w:val="28"/>
              </w:rPr>
            </w:pPr>
          </w:p>
        </w:tc>
        <w:tc>
          <w:tcPr>
            <w:tcW w:w="23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205"/>
              </w:tabs>
              <w:spacing w:after="0" w:line="240" w:lineRule="auto"/>
              <w:ind w:left="-159" w:right="-39" w:firstLine="48"/>
              <w:jc w:val="center"/>
              <w:rPr>
                <w:rFonts w:ascii="Times New Roman" w:hAnsi="Times New Roman" w:cs="Times New Roman"/>
                <w:sz w:val="28"/>
                <w:szCs w:val="28"/>
              </w:rPr>
            </w:pPr>
            <w:r>
              <w:rPr>
                <w:rFonts w:ascii="Times New Roman" w:eastAsia="Times New Roman" w:hAnsi="Times New Roman" w:cs="Times New Roman"/>
                <w:sz w:val="28"/>
                <w:szCs w:val="28"/>
              </w:rPr>
              <w:t xml:space="preserve">созданный резервный фонд, </w:t>
            </w:r>
            <w:proofErr w:type="spellStart"/>
            <w:r>
              <w:rPr>
                <w:rFonts w:ascii="Times New Roman" w:eastAsia="Times New Roman" w:hAnsi="Times New Roman" w:cs="Times New Roman"/>
                <w:sz w:val="28"/>
                <w:szCs w:val="28"/>
              </w:rPr>
              <w:t>млн</w:t>
            </w:r>
            <w:proofErr w:type="spellEnd"/>
            <w:r>
              <w:rPr>
                <w:rFonts w:ascii="Times New Roman" w:eastAsia="Times New Roman" w:hAnsi="Times New Roman" w:cs="Times New Roman"/>
                <w:sz w:val="28"/>
                <w:szCs w:val="28"/>
              </w:rPr>
              <w:t xml:space="preserve"> руб.</w:t>
            </w:r>
          </w:p>
        </w:tc>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205"/>
              </w:tabs>
              <w:spacing w:after="0" w:line="240" w:lineRule="auto"/>
              <w:ind w:left="2" w:hanging="9"/>
              <w:jc w:val="center"/>
              <w:rPr>
                <w:rFonts w:ascii="Times New Roman" w:hAnsi="Times New Roman" w:cs="Times New Roman"/>
                <w:sz w:val="28"/>
                <w:szCs w:val="28"/>
              </w:rPr>
            </w:pPr>
            <w:r>
              <w:rPr>
                <w:rFonts w:ascii="Times New Roman" w:eastAsia="Times New Roman" w:hAnsi="Times New Roman" w:cs="Times New Roman"/>
                <w:sz w:val="28"/>
                <w:szCs w:val="28"/>
              </w:rPr>
              <w:t>израсходовано,</w:t>
            </w:r>
          </w:p>
          <w:p w:rsidR="00B52DE3" w:rsidRDefault="00DE73E3">
            <w:pPr>
              <w:widowControl w:val="0"/>
              <w:tabs>
                <w:tab w:val="left" w:pos="8205"/>
              </w:tabs>
              <w:spacing w:after="0" w:line="240" w:lineRule="auto"/>
              <w:ind w:left="2" w:hanging="9"/>
              <w:jc w:val="center"/>
              <w:rPr>
                <w:rFonts w:ascii="Times New Roman" w:hAnsi="Times New Roman" w:cs="Times New Roman"/>
                <w:sz w:val="28"/>
                <w:szCs w:val="28"/>
              </w:rPr>
            </w:pP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млн</w:t>
            </w:r>
            <w:proofErr w:type="spellEnd"/>
            <w:r>
              <w:rPr>
                <w:rFonts w:ascii="Times New Roman" w:eastAsia="Times New Roman" w:hAnsi="Times New Roman" w:cs="Times New Roman"/>
                <w:sz w:val="28"/>
                <w:szCs w:val="28"/>
              </w:rPr>
              <w:t xml:space="preserve"> руб.)</w:t>
            </w:r>
          </w:p>
        </w:tc>
        <w:tc>
          <w:tcPr>
            <w:tcW w:w="22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205"/>
              </w:tabs>
              <w:spacing w:after="0" w:line="240" w:lineRule="auto"/>
              <w:ind w:firstLine="31"/>
              <w:jc w:val="center"/>
              <w:rPr>
                <w:rFonts w:ascii="Times New Roman" w:hAnsi="Times New Roman" w:cs="Times New Roman"/>
                <w:sz w:val="28"/>
                <w:szCs w:val="28"/>
              </w:rPr>
            </w:pPr>
            <w:r>
              <w:rPr>
                <w:rFonts w:ascii="Times New Roman" w:eastAsia="Times New Roman" w:hAnsi="Times New Roman" w:cs="Times New Roman"/>
                <w:sz w:val="28"/>
                <w:szCs w:val="28"/>
              </w:rPr>
              <w:t>резерв на душу населения, руб.</w:t>
            </w:r>
          </w:p>
        </w:tc>
      </w:tr>
      <w:tr w:rsidR="00B52DE3">
        <w:tc>
          <w:tcPr>
            <w:tcW w:w="24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205"/>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Уссурийский</w:t>
            </w:r>
          </w:p>
          <w:p w:rsidR="00B52DE3" w:rsidRDefault="00DE73E3">
            <w:pPr>
              <w:widowControl w:val="0"/>
              <w:tabs>
                <w:tab w:val="left" w:pos="8205"/>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городской округ</w:t>
            </w:r>
          </w:p>
        </w:tc>
        <w:tc>
          <w:tcPr>
            <w:tcW w:w="23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205"/>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8,0</w:t>
            </w:r>
          </w:p>
        </w:tc>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205"/>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3,4</w:t>
            </w:r>
          </w:p>
        </w:tc>
        <w:tc>
          <w:tcPr>
            <w:tcW w:w="22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205"/>
              </w:tabs>
              <w:spacing w:after="0" w:line="240" w:lineRule="auto"/>
              <w:ind w:firstLine="28"/>
              <w:jc w:val="center"/>
              <w:rPr>
                <w:rFonts w:ascii="Times New Roman" w:hAnsi="Times New Roman" w:cs="Times New Roman"/>
                <w:sz w:val="28"/>
                <w:szCs w:val="28"/>
              </w:rPr>
            </w:pPr>
            <w:r>
              <w:rPr>
                <w:rFonts w:ascii="Times New Roman" w:eastAsia="Times New Roman" w:hAnsi="Times New Roman" w:cs="Times New Roman"/>
                <w:sz w:val="28"/>
                <w:szCs w:val="28"/>
              </w:rPr>
              <w:t>38,3</w:t>
            </w:r>
          </w:p>
        </w:tc>
      </w:tr>
    </w:tbl>
    <w:p w:rsidR="00B52DE3" w:rsidRDefault="00B52DE3">
      <w:pPr>
        <w:widowControl w:val="0"/>
        <w:tabs>
          <w:tab w:val="left" w:pos="8205"/>
        </w:tabs>
        <w:spacing w:after="0" w:line="240" w:lineRule="auto"/>
        <w:ind w:firstLine="709"/>
        <w:jc w:val="both"/>
        <w:rPr>
          <w:rFonts w:ascii="Times New Roman" w:hAnsi="Times New Roman" w:cs="Times New Roman"/>
          <w:color w:val="ED0000"/>
          <w:sz w:val="28"/>
          <w:szCs w:val="28"/>
        </w:rPr>
      </w:pPr>
    </w:p>
    <w:p w:rsidR="00B52DE3" w:rsidRDefault="00B52DE3">
      <w:pPr>
        <w:widowControl w:val="0"/>
        <w:tabs>
          <w:tab w:val="left" w:pos="8115"/>
        </w:tabs>
        <w:spacing w:after="0" w:line="240" w:lineRule="auto"/>
        <w:ind w:firstLine="708"/>
        <w:jc w:val="center"/>
        <w:rPr>
          <w:rFonts w:ascii="Times New Roman" w:hAnsi="Times New Roman" w:cs="Times New Roman"/>
          <w:i/>
          <w:color w:val="ED0000"/>
          <w:sz w:val="28"/>
          <w:szCs w:val="28"/>
        </w:rPr>
      </w:pPr>
    </w:p>
    <w:p w:rsidR="00B52DE3" w:rsidRDefault="00DE73E3">
      <w:pPr>
        <w:widowControl w:val="0"/>
        <w:tabs>
          <w:tab w:val="left" w:pos="1500"/>
          <w:tab w:val="left" w:pos="8115"/>
        </w:tabs>
        <w:spacing w:after="0" w:line="240" w:lineRule="auto"/>
        <w:ind w:firstLine="708"/>
        <w:jc w:val="center"/>
        <w:rPr>
          <w:rFonts w:ascii="Times New Roman" w:hAnsi="Times New Roman" w:cs="Times New Roman"/>
          <w:sz w:val="28"/>
          <w:szCs w:val="28"/>
        </w:rPr>
      </w:pPr>
      <w:r>
        <w:rPr>
          <w:rFonts w:ascii="Times New Roman" w:eastAsia="Times New Roman" w:hAnsi="Times New Roman" w:cs="Times New Roman"/>
          <w:b/>
          <w:bCs/>
          <w:sz w:val="28"/>
          <w:szCs w:val="28"/>
        </w:rPr>
        <w:t>Сведения о резервах материальных ресурсов</w:t>
      </w:r>
    </w:p>
    <w:p w:rsidR="00B52DE3" w:rsidRDefault="00B52DE3">
      <w:pPr>
        <w:widowControl w:val="0"/>
        <w:tabs>
          <w:tab w:val="left" w:pos="1500"/>
          <w:tab w:val="left" w:pos="8115"/>
        </w:tabs>
        <w:spacing w:after="0" w:line="240" w:lineRule="auto"/>
        <w:ind w:firstLine="708"/>
        <w:jc w:val="center"/>
        <w:rPr>
          <w:rFonts w:ascii="Times New Roman" w:hAnsi="Times New Roman" w:cs="Times New Roman"/>
          <w:color w:val="ED0000"/>
          <w:sz w:val="28"/>
          <w:szCs w:val="28"/>
        </w:rPr>
      </w:pPr>
    </w:p>
    <w:tbl>
      <w:tblPr>
        <w:tblW w:w="9571" w:type="dxa"/>
        <w:tblInd w:w="-113" w:type="dxa"/>
        <w:tblLayout w:type="fixed"/>
        <w:tblLook w:val="04A0"/>
      </w:tblPr>
      <w:tblGrid>
        <w:gridCol w:w="2270"/>
        <w:gridCol w:w="2345"/>
        <w:gridCol w:w="2234"/>
        <w:gridCol w:w="669"/>
        <w:gridCol w:w="2053"/>
      </w:tblGrid>
      <w:tr w:rsidR="00B52DE3">
        <w:tc>
          <w:tcPr>
            <w:tcW w:w="227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Муниципальное образование</w:t>
            </w:r>
          </w:p>
        </w:tc>
        <w:tc>
          <w:tcPr>
            <w:tcW w:w="730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Резервы материальных ресурсов</w:t>
            </w:r>
          </w:p>
        </w:tc>
      </w:tr>
      <w:tr w:rsidR="00B52DE3">
        <w:tc>
          <w:tcPr>
            <w:tcW w:w="227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B52DE3">
            <w:pPr>
              <w:rPr>
                <w:rFonts w:ascii="Times New Roman" w:hAnsi="Times New Roman"/>
                <w:sz w:val="28"/>
                <w:szCs w:val="28"/>
              </w:rPr>
            </w:pPr>
          </w:p>
        </w:tc>
        <w:tc>
          <w:tcPr>
            <w:tcW w:w="2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ind w:left="-70" w:right="-74"/>
              <w:jc w:val="center"/>
              <w:rPr>
                <w:rFonts w:ascii="Times New Roman" w:hAnsi="Times New Roman" w:cs="Times New Roman"/>
                <w:sz w:val="28"/>
                <w:szCs w:val="28"/>
              </w:rPr>
            </w:pPr>
            <w:r>
              <w:rPr>
                <w:rFonts w:ascii="Times New Roman" w:eastAsia="Times New Roman" w:hAnsi="Times New Roman" w:cs="Times New Roman"/>
                <w:sz w:val="28"/>
                <w:szCs w:val="28"/>
              </w:rPr>
              <w:t>планируемый объем накопления, млн. руб.</w:t>
            </w:r>
          </w:p>
        </w:tc>
        <w:tc>
          <w:tcPr>
            <w:tcW w:w="2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фактическое наличие, млн. руб.</w:t>
            </w:r>
          </w:p>
        </w:tc>
        <w:tc>
          <w:tcPr>
            <w:tcW w:w="6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w:t>
            </w:r>
          </w:p>
        </w:tc>
        <w:tc>
          <w:tcPr>
            <w:tcW w:w="2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ind w:left="-108" w:right="-108"/>
              <w:jc w:val="center"/>
              <w:rPr>
                <w:rFonts w:ascii="Times New Roman" w:hAnsi="Times New Roman" w:cs="Times New Roman"/>
                <w:sz w:val="28"/>
                <w:szCs w:val="28"/>
              </w:rPr>
            </w:pPr>
            <w:r>
              <w:rPr>
                <w:rFonts w:ascii="Times New Roman" w:eastAsia="Times New Roman" w:hAnsi="Times New Roman" w:cs="Times New Roman"/>
                <w:sz w:val="28"/>
                <w:szCs w:val="28"/>
              </w:rPr>
              <w:t>резервов на душу населения, руб./чел.</w:t>
            </w:r>
          </w:p>
        </w:tc>
      </w:tr>
      <w:tr w:rsidR="00B52DE3">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Уссурийский</w:t>
            </w:r>
          </w:p>
          <w:p w:rsidR="00B52DE3" w:rsidRDefault="00DE73E3">
            <w:pPr>
              <w:widowControl w:val="0"/>
              <w:tabs>
                <w:tab w:val="left" w:pos="8310"/>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 xml:space="preserve"> городской округ</w:t>
            </w:r>
          </w:p>
        </w:tc>
        <w:tc>
          <w:tcPr>
            <w:tcW w:w="2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10,0</w:t>
            </w:r>
          </w:p>
        </w:tc>
        <w:tc>
          <w:tcPr>
            <w:tcW w:w="2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10,0</w:t>
            </w:r>
          </w:p>
        </w:tc>
        <w:tc>
          <w:tcPr>
            <w:tcW w:w="6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100</w:t>
            </w:r>
          </w:p>
        </w:tc>
        <w:tc>
          <w:tcPr>
            <w:tcW w:w="2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2DE3" w:rsidRDefault="00DE73E3">
            <w:pPr>
              <w:widowControl w:val="0"/>
              <w:tabs>
                <w:tab w:val="left" w:pos="8310"/>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47,9</w:t>
            </w:r>
          </w:p>
        </w:tc>
      </w:tr>
    </w:tbl>
    <w:p w:rsidR="00B52DE3" w:rsidRDefault="00B52DE3">
      <w:pPr>
        <w:widowControl w:val="0"/>
        <w:spacing w:after="0" w:line="240" w:lineRule="auto"/>
        <w:rPr>
          <w:rFonts w:ascii="Times New Roman" w:hAnsi="Times New Roman" w:cs="Times New Roman"/>
          <w:i/>
          <w:sz w:val="28"/>
          <w:szCs w:val="28"/>
        </w:rPr>
      </w:pP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Нормативно – правовая база позволяет эффективно решать вопросы текущей деятельности, предупреждения и ликвидации ЧС на территории городского округа. Финансирование деятельности городского звена РСЧС осуществляется на основании анализа деятельности за предыдущие годы и прогнозирования возникновения возможных чрезвычайных ситуаций.</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целях повышения уровня практических навыков сил РСЧС постоянно проводятся теоретические занятия, практические учения и тренировки, обучение на курсах ГО и в УМЦ Приморского края.</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Силы Уссурийского городского звена РСЧС готовы к выполнению задач по защите населения и территории от чрезвычайных ситуаций.</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лучшую сторону отмечаются формирования МУП «Уссурийск – Водоканал».</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widowControl w:val="0"/>
        <w:spacing w:after="0" w:line="240" w:lineRule="auto"/>
        <w:ind w:firstLine="709"/>
        <w:jc w:val="center"/>
        <w:rPr>
          <w:rFonts w:ascii="Times New Roman" w:hAnsi="Times New Roman" w:cs="Times New Roman"/>
          <w:sz w:val="28"/>
          <w:szCs w:val="28"/>
        </w:rPr>
      </w:pPr>
      <w:r>
        <w:rPr>
          <w:rFonts w:ascii="Times New Roman" w:eastAsia="Times New Roman" w:hAnsi="Times New Roman" w:cs="Times New Roman"/>
          <w:b/>
          <w:bCs/>
          <w:iCs/>
          <w:spacing w:val="-2"/>
          <w:sz w:val="28"/>
          <w:szCs w:val="28"/>
        </w:rPr>
        <w:t>Привлечение общественных объединений и других некоммерческих организаций к деятельности в области защиты населения и территорий от чрезвычайных ситуаций</w:t>
      </w:r>
    </w:p>
    <w:p w:rsidR="00B52DE3" w:rsidRDefault="00B52DE3">
      <w:pPr>
        <w:widowControl w:val="0"/>
        <w:spacing w:after="0" w:line="240" w:lineRule="auto"/>
        <w:ind w:firstLine="709"/>
        <w:jc w:val="center"/>
        <w:rPr>
          <w:rFonts w:ascii="Times New Roman" w:hAnsi="Times New Roman" w:cs="Times New Roman"/>
          <w:sz w:val="28"/>
          <w:szCs w:val="28"/>
        </w:rPr>
      </w:pP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Для пропаганды знаний и умений действовать при возникновении ЧС используются </w:t>
      </w:r>
      <w:r>
        <w:rPr>
          <w:rFonts w:ascii="Times New Roman" w:eastAsia="Times New Roman" w:hAnsi="Times New Roman" w:cs="Times New Roman"/>
          <w:bCs/>
          <w:sz w:val="28"/>
          <w:szCs w:val="28"/>
        </w:rPr>
        <w:t xml:space="preserve">средства массовой информации: радио, телевидение, </w:t>
      </w:r>
      <w:r>
        <w:rPr>
          <w:rFonts w:ascii="Times New Roman" w:eastAsia="Times New Roman" w:hAnsi="Times New Roman" w:cs="Times New Roman"/>
          <w:bCs/>
          <w:sz w:val="28"/>
          <w:szCs w:val="28"/>
        </w:rPr>
        <w:lastRenderedPageBreak/>
        <w:t xml:space="preserve">электронные и печатные издания, а также и наглядная агитация. </w:t>
      </w:r>
    </w:p>
    <w:p w:rsidR="00B52DE3" w:rsidRDefault="00DE73E3">
      <w:pPr>
        <w:pStyle w:val="afff2"/>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На телеканале «Телемикс», радиостанции «Европа плюс» (100,7 </w:t>
      </w:r>
      <w:r>
        <w:rPr>
          <w:rFonts w:ascii="Times New Roman" w:eastAsia="Times New Roman" w:hAnsi="Times New Roman" w:cs="Times New Roman"/>
          <w:bCs/>
          <w:sz w:val="28"/>
          <w:szCs w:val="28"/>
          <w:lang w:val="en-US"/>
        </w:rPr>
        <w:t>FM</w:t>
      </w:r>
      <w:r>
        <w:rPr>
          <w:rFonts w:ascii="Times New Roman" w:eastAsia="Times New Roman" w:hAnsi="Times New Roman" w:cs="Times New Roman"/>
          <w:bCs/>
          <w:sz w:val="28"/>
          <w:szCs w:val="28"/>
        </w:rPr>
        <w:t xml:space="preserve">), «Дорожное радио» (88,6 </w:t>
      </w:r>
      <w:r>
        <w:rPr>
          <w:rFonts w:ascii="Times New Roman" w:eastAsia="Times New Roman" w:hAnsi="Times New Roman" w:cs="Times New Roman"/>
          <w:bCs/>
          <w:sz w:val="28"/>
          <w:szCs w:val="28"/>
          <w:lang w:val="en-US"/>
        </w:rPr>
        <w:t>FM</w:t>
      </w:r>
      <w:r>
        <w:rPr>
          <w:rFonts w:ascii="Times New Roman" w:eastAsia="Times New Roman" w:hAnsi="Times New Roman" w:cs="Times New Roman"/>
          <w:bCs/>
          <w:sz w:val="28"/>
          <w:szCs w:val="28"/>
        </w:rPr>
        <w:t xml:space="preserve">), на официальном сайте администрации Уссурийского городского округа еженедельно транслируются сообщения </w:t>
      </w:r>
      <w:r>
        <w:rPr>
          <w:rFonts w:ascii="Times New Roman" w:eastAsia="Times New Roman" w:hAnsi="Times New Roman" w:cs="Times New Roman"/>
          <w:bCs/>
          <w:sz w:val="28"/>
          <w:szCs w:val="28"/>
        </w:rPr>
        <w:br/>
        <w:t xml:space="preserve">с освещением оперативной обстановки по пожарной безопасности, совершенных выездов подразделениями 7 ПСО ФПС ГПС МЧС России по Приморскому краю на пожары и причин происшествий, связанных </w:t>
      </w:r>
      <w:r>
        <w:rPr>
          <w:rFonts w:ascii="Times New Roman" w:eastAsia="Times New Roman" w:hAnsi="Times New Roman" w:cs="Times New Roman"/>
          <w:bCs/>
          <w:sz w:val="28"/>
          <w:szCs w:val="28"/>
        </w:rPr>
        <w:br/>
        <w:t xml:space="preserve">с </w:t>
      </w:r>
      <w:proofErr w:type="spellStart"/>
      <w:r>
        <w:rPr>
          <w:rFonts w:ascii="Times New Roman" w:eastAsia="Times New Roman" w:hAnsi="Times New Roman" w:cs="Times New Roman"/>
          <w:bCs/>
          <w:sz w:val="28"/>
          <w:szCs w:val="28"/>
        </w:rPr>
        <w:t>травмированием</w:t>
      </w:r>
      <w:proofErr w:type="spellEnd"/>
      <w:r>
        <w:rPr>
          <w:rFonts w:ascii="Times New Roman" w:eastAsia="Times New Roman" w:hAnsi="Times New Roman" w:cs="Times New Roman"/>
          <w:bCs/>
          <w:sz w:val="28"/>
          <w:szCs w:val="28"/>
        </w:rPr>
        <w:t xml:space="preserve"> людей, а также мерах безопасности по недопущению случаев возникновения пожаров и увечья людей.</w:t>
      </w:r>
    </w:p>
    <w:p w:rsidR="00B52DE3" w:rsidRDefault="00DE73E3">
      <w:pPr>
        <w:pStyle w:val="afff2"/>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На телеканале «Телемикс» неоднократно выступали руководящий состав и специалисты </w:t>
      </w:r>
      <w:r>
        <w:rPr>
          <w:rFonts w:ascii="Times New Roman" w:eastAsia="Times New Roman" w:hAnsi="Times New Roman" w:cs="Times New Roman"/>
          <w:sz w:val="28"/>
          <w:szCs w:val="28"/>
        </w:rPr>
        <w:t xml:space="preserve">МКУ «Управление по делам ГОЧС», </w:t>
      </w:r>
      <w:r>
        <w:rPr>
          <w:rFonts w:ascii="Times New Roman" w:eastAsia="Times New Roman" w:hAnsi="Times New Roman" w:cs="Times New Roman"/>
          <w:bCs/>
          <w:sz w:val="28"/>
          <w:szCs w:val="28"/>
        </w:rPr>
        <w:t>с разъяснениями населению порядка действий при угрозе возникновения ЧС, пожаров и др.</w:t>
      </w:r>
    </w:p>
    <w:p w:rsidR="00B52DE3" w:rsidRDefault="00DE73E3">
      <w:pPr>
        <w:pStyle w:val="afff2"/>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В газете «Коммунар» еженедельно осуществляется информирование населения о сложившейся оперативной обстановке по пожарной безопасности, возможных сложных ситуациях, связанных с возникновением угрозы для жизни и здоровья людей с рекомендациями о порядке действий </w:t>
      </w:r>
      <w:r>
        <w:rPr>
          <w:rFonts w:ascii="Times New Roman" w:eastAsia="Times New Roman" w:hAnsi="Times New Roman" w:cs="Times New Roman"/>
          <w:bCs/>
          <w:sz w:val="28"/>
          <w:szCs w:val="28"/>
        </w:rPr>
        <w:br/>
        <w:t>в сложных условиях.</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2025 году специалистами МКУ «Управление по делам ГОЧС» УГО подготовлено:</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сообщений на радио – 27;</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выступлений и видеосюжетов на ТВ – 5;</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заметок в печатных СМИ – 12.</w:t>
      </w:r>
    </w:p>
    <w:p w:rsidR="00B52DE3" w:rsidRDefault="00DE73E3">
      <w:pPr>
        <w:pStyle w:val="afff2"/>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Также использовались современные технические средства массовой информации в городе Уссурийске – на светодиодной панели, размещались видеоролики для населения по мерам безопасности и порядке действий </w:t>
      </w:r>
      <w:r>
        <w:rPr>
          <w:rFonts w:ascii="Times New Roman" w:eastAsia="Times New Roman" w:hAnsi="Times New Roman" w:cs="Times New Roman"/>
          <w:sz w:val="28"/>
          <w:szCs w:val="28"/>
        </w:rPr>
        <w:br/>
        <w:t>в различных жизненных ситуациях.</w:t>
      </w:r>
    </w:p>
    <w:p w:rsidR="00B52DE3" w:rsidRDefault="00DE73E3">
      <w:pPr>
        <w:pStyle w:val="1f8"/>
        <w:spacing w:line="360" w:lineRule="auto"/>
        <w:ind w:firstLine="709"/>
        <w:jc w:val="both"/>
        <w:rPr>
          <w:rFonts w:cs="Times New Roman"/>
          <w:szCs w:val="28"/>
        </w:rPr>
      </w:pPr>
      <w:r>
        <w:rPr>
          <w:rFonts w:eastAsia="Times New Roman" w:cs="Times New Roman"/>
          <w:szCs w:val="28"/>
        </w:rPr>
        <w:t>Кроме того, в Уссурийском городском округе</w:t>
      </w:r>
      <w:r>
        <w:rPr>
          <w:rFonts w:eastAsia="Times New Roman" w:cs="Times New Roman"/>
          <w:i/>
          <w:szCs w:val="28"/>
        </w:rPr>
        <w:t xml:space="preserve"> </w:t>
      </w:r>
      <w:r>
        <w:rPr>
          <w:rFonts w:eastAsia="Times New Roman" w:cs="Times New Roman"/>
          <w:szCs w:val="28"/>
        </w:rPr>
        <w:t xml:space="preserve">созданы и действуют два спортивно-туристических клуба, семь военно-патриотических клубов, одно объединение «Школа безопасности», одна добровольная пожарная дружина </w:t>
      </w:r>
      <w:r>
        <w:rPr>
          <w:rFonts w:eastAsia="Times New Roman" w:cs="Times New Roman"/>
          <w:szCs w:val="28"/>
        </w:rPr>
        <w:lastRenderedPageBreak/>
        <w:t xml:space="preserve">на базе Приморской ГСХА. </w:t>
      </w:r>
    </w:p>
    <w:p w:rsidR="00B52DE3" w:rsidRDefault="00B52DE3">
      <w:pPr>
        <w:widowControl w:val="0"/>
        <w:spacing w:after="0" w:line="240" w:lineRule="auto"/>
        <w:jc w:val="both"/>
        <w:rPr>
          <w:rFonts w:ascii="Times New Roman" w:hAnsi="Times New Roman" w:cs="Times New Roman"/>
          <w:b/>
          <w:bCs/>
          <w:sz w:val="28"/>
          <w:szCs w:val="28"/>
        </w:rPr>
      </w:pPr>
    </w:p>
    <w:p w:rsidR="00B52DE3" w:rsidRDefault="00B52DE3">
      <w:pPr>
        <w:widowControl w:val="0"/>
        <w:spacing w:after="0" w:line="240" w:lineRule="auto"/>
        <w:jc w:val="both"/>
        <w:rPr>
          <w:rFonts w:ascii="Times New Roman" w:hAnsi="Times New Roman" w:cs="Times New Roman"/>
          <w:b/>
          <w:bCs/>
          <w:sz w:val="28"/>
          <w:szCs w:val="28"/>
        </w:rPr>
      </w:pPr>
    </w:p>
    <w:p w:rsidR="00B52DE3" w:rsidRDefault="00DE73E3">
      <w:pPr>
        <w:pStyle w:val="1fe"/>
        <w:keepNext w:val="0"/>
        <w:keepLines w:val="0"/>
        <w:spacing w:before="0" w:line="240" w:lineRule="auto"/>
      </w:pPr>
      <w:bookmarkStart w:id="160" w:name="_Toc146"/>
      <w:r>
        <w:rPr>
          <w:rFonts w:eastAsia="Times New Roman"/>
        </w:rPr>
        <w:t>ОБ ИСПОЛНЕНИИ ОТДЕЛЬНЫХ ГОСУДАРСТВЕННЫХ ПОЛНОМОЧИЙ ПО ГОСУДАРСТВЕННОМУ УПРАВЛЕНИЮ НА ТЕРРИТОРИИ УССУРИЙСКОГО ГОРОДСКОГО ОКРУГА</w:t>
      </w:r>
      <w:bookmarkEnd w:id="160"/>
    </w:p>
    <w:p w:rsidR="00B52DE3" w:rsidRDefault="00B52DE3">
      <w:pPr>
        <w:pStyle w:val="43"/>
        <w:shd w:val="clear" w:color="auto" w:fill="auto"/>
        <w:tabs>
          <w:tab w:val="left" w:pos="993"/>
        </w:tabs>
        <w:spacing w:line="360" w:lineRule="auto"/>
        <w:ind w:left="1135" w:firstLine="0"/>
        <w:jc w:val="center"/>
        <w:rPr>
          <w:b/>
          <w:sz w:val="28"/>
          <w:szCs w:val="28"/>
        </w:rPr>
      </w:pPr>
    </w:p>
    <w:p w:rsidR="00B52DE3" w:rsidRDefault="00DE73E3">
      <w:pPr>
        <w:pStyle w:val="2f6"/>
        <w:keepNext w:val="0"/>
        <w:spacing w:before="0"/>
        <w:ind w:left="0"/>
      </w:pPr>
      <w:bookmarkStart w:id="161" w:name="_Toc147"/>
      <w:r>
        <w:t>Работа с детьми и подростками из группы риска</w:t>
      </w:r>
      <w:bookmarkEnd w:id="161"/>
    </w:p>
    <w:p w:rsidR="00B52DE3" w:rsidRDefault="00B52DE3">
      <w:pPr>
        <w:spacing w:after="0" w:line="360" w:lineRule="auto"/>
        <w:contextualSpacing/>
        <w:jc w:val="both"/>
        <w:rPr>
          <w:rFonts w:ascii="Times New Roman" w:hAnsi="Times New Roman" w:cs="Times New Roman"/>
          <w:sz w:val="28"/>
          <w:szCs w:val="28"/>
        </w:rPr>
      </w:pPr>
    </w:p>
    <w:p w:rsidR="00B52DE3" w:rsidRDefault="00DE73E3">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соответствии с Постановлением Правительства Российской Федерации от 06 ноября 2013 года № 995 «Об утверждении Примерного положения о комиссиях по делам несовершеннолетних и защите их прав», Законом Приморского края от 08 ноября 2005 года № 296-КЗ «О комиссиях по делам несовершеннолетних и защите их прав на территории Приморского края», Планом работы комиссии по делам несовершеннолетних и защите их прав Уссурийского городского округа Приморского края (далее - Комиссия), утвержденным постановлением Комиссии от 21 января 2025 года № 1                  «Об утверждении Плана работы комиссии по делам несовершеннолетних  и защите их прав на 2025 год и Плана межведомственного взаимодействия органов и учреждений системы профилактики безнадзорности и правонарушений несовершеннолетних Уссурийского городского округа Приморского края на 2025 год»,  в  2025 году комиссией  проведена следующая работа: </w:t>
      </w:r>
      <w:r>
        <w:rPr>
          <w:rFonts w:ascii="Times New Roman" w:hAnsi="Times New Roman" w:cs="Times New Roman"/>
          <w:sz w:val="28"/>
          <w:szCs w:val="28"/>
        </w:rPr>
        <w:t xml:space="preserve">   </w:t>
      </w:r>
    </w:p>
    <w:p w:rsidR="00B52DE3" w:rsidRDefault="00DE73E3">
      <w:pPr>
        <w:pStyle w:val="afff1"/>
        <w:spacing w:line="360" w:lineRule="auto"/>
        <w:ind w:left="0"/>
        <w:jc w:val="both"/>
        <w:rPr>
          <w:sz w:val="28"/>
          <w:szCs w:val="28"/>
        </w:rPr>
      </w:pPr>
      <w:r>
        <w:rPr>
          <w:sz w:val="28"/>
          <w:szCs w:val="28"/>
        </w:rPr>
        <w:tab/>
        <w:t>проведено 23 заседания комиссии (АППГ – 27). Рассмотрено                             34 координационных вопросов (АППГ – 35).</w:t>
      </w:r>
    </w:p>
    <w:p w:rsidR="00B52DE3" w:rsidRDefault="00DE73E3">
      <w:pPr>
        <w:pStyle w:val="afff1"/>
        <w:spacing w:line="360" w:lineRule="auto"/>
        <w:ind w:left="0"/>
        <w:jc w:val="both"/>
        <w:rPr>
          <w:sz w:val="28"/>
          <w:szCs w:val="28"/>
        </w:rPr>
      </w:pPr>
      <w:r>
        <w:rPr>
          <w:sz w:val="28"/>
          <w:szCs w:val="28"/>
        </w:rPr>
        <w:tab/>
        <w:t>проведены следующие основные профилактические мероприятия и акции, направленные на профилактику безнадзорности и правонарушений несовершеннолетних:</w:t>
      </w:r>
    </w:p>
    <w:p w:rsidR="00B52DE3" w:rsidRDefault="00DE73E3">
      <w:pPr>
        <w:pStyle w:val="afff1"/>
        <w:spacing w:line="360" w:lineRule="auto"/>
        <w:ind w:left="0"/>
        <w:jc w:val="both"/>
        <w:rPr>
          <w:sz w:val="28"/>
          <w:szCs w:val="28"/>
        </w:rPr>
      </w:pPr>
      <w:r>
        <w:rPr>
          <w:sz w:val="28"/>
          <w:szCs w:val="28"/>
        </w:rPr>
        <w:tab/>
        <w:t xml:space="preserve">«Сохрани ребенку жизнь» (предупреждение оставления детей в обстановке, представляющей опасность для их жизни и здоровья, младенческой смертности, гибели детей от несчастных случаев, в том числе </w:t>
      </w:r>
      <w:r>
        <w:rPr>
          <w:sz w:val="28"/>
          <w:szCs w:val="28"/>
        </w:rPr>
        <w:lastRenderedPageBreak/>
        <w:t>на пожарах, водных объектах, в период длительных праздничных дней);</w:t>
      </w:r>
    </w:p>
    <w:p w:rsidR="00B52DE3" w:rsidRDefault="00DE73E3">
      <w:pPr>
        <w:pStyle w:val="afff1"/>
        <w:spacing w:line="360" w:lineRule="auto"/>
        <w:ind w:left="0"/>
        <w:jc w:val="both"/>
        <w:rPr>
          <w:sz w:val="28"/>
          <w:szCs w:val="28"/>
        </w:rPr>
      </w:pPr>
      <w:r>
        <w:rPr>
          <w:sz w:val="28"/>
          <w:szCs w:val="28"/>
        </w:rPr>
        <w:tab/>
        <w:t>«Алкоголь под контроль!» (рейды по объектам потребительского рынка с целью выявления торговых точек, осуществляющих реализацию алкогольной и табачной продукции несовершеннолетним);</w:t>
      </w:r>
    </w:p>
    <w:p w:rsidR="00B52DE3" w:rsidRDefault="00DE73E3">
      <w:pPr>
        <w:pStyle w:val="afff1"/>
        <w:spacing w:line="360" w:lineRule="auto"/>
        <w:ind w:left="0"/>
        <w:jc w:val="both"/>
        <w:rPr>
          <w:sz w:val="28"/>
          <w:szCs w:val="28"/>
        </w:rPr>
      </w:pPr>
      <w:r>
        <w:rPr>
          <w:sz w:val="28"/>
          <w:szCs w:val="28"/>
        </w:rPr>
        <w:tab/>
        <w:t xml:space="preserve">«Осторожно: ребенок в окне» (предупреждение </w:t>
      </w:r>
      <w:proofErr w:type="spellStart"/>
      <w:r>
        <w:rPr>
          <w:sz w:val="28"/>
          <w:szCs w:val="28"/>
        </w:rPr>
        <w:t>травмирования</w:t>
      </w:r>
      <w:proofErr w:type="spellEnd"/>
      <w:r>
        <w:rPr>
          <w:sz w:val="28"/>
          <w:szCs w:val="28"/>
        </w:rPr>
        <w:t xml:space="preserve"> малолетних детей от падения из окон и с балконов);</w:t>
      </w:r>
    </w:p>
    <w:p w:rsidR="00B52DE3" w:rsidRDefault="00DE73E3">
      <w:pPr>
        <w:pStyle w:val="afff1"/>
        <w:spacing w:line="360" w:lineRule="auto"/>
        <w:ind w:left="0"/>
        <w:jc w:val="both"/>
        <w:rPr>
          <w:sz w:val="28"/>
          <w:szCs w:val="28"/>
        </w:rPr>
      </w:pPr>
      <w:r>
        <w:rPr>
          <w:sz w:val="28"/>
          <w:szCs w:val="28"/>
        </w:rPr>
        <w:t xml:space="preserve"> </w:t>
      </w:r>
      <w:r>
        <w:rPr>
          <w:sz w:val="28"/>
          <w:szCs w:val="28"/>
        </w:rPr>
        <w:tab/>
        <w:t>«Сообщи, где торгуют смертью» (март);</w:t>
      </w:r>
    </w:p>
    <w:p w:rsidR="00B52DE3" w:rsidRDefault="00DE73E3">
      <w:pPr>
        <w:pStyle w:val="afff1"/>
        <w:spacing w:line="360" w:lineRule="auto"/>
        <w:ind w:left="0"/>
        <w:jc w:val="both"/>
        <w:rPr>
          <w:sz w:val="28"/>
          <w:szCs w:val="28"/>
        </w:rPr>
      </w:pPr>
      <w:r>
        <w:rPr>
          <w:sz w:val="28"/>
          <w:szCs w:val="28"/>
        </w:rPr>
        <w:tab/>
        <w:t>«Безопасное лето» (проведение мероприятий, направленных на профилактику чрезвычайных происшествий с несовершеннолетними, в том числе, безопасность детей на дорогах, на воде, недопущение подростков на объекты строек и заброшенных зданий, пожарная безопасность, профилактика выпадения детей из окон и другие;</w:t>
      </w:r>
    </w:p>
    <w:p w:rsidR="00B52DE3" w:rsidRDefault="00DE73E3">
      <w:pPr>
        <w:pStyle w:val="afff1"/>
        <w:spacing w:line="360" w:lineRule="auto"/>
        <w:ind w:left="0" w:firstLine="709"/>
        <w:jc w:val="both"/>
        <w:rPr>
          <w:sz w:val="28"/>
          <w:szCs w:val="28"/>
        </w:rPr>
      </w:pPr>
      <w:r>
        <w:rPr>
          <w:sz w:val="28"/>
          <w:szCs w:val="28"/>
        </w:rPr>
        <w:t>ночные рейдовые мероприятия по питейным заведениям, с целью выявления несовершеннолетних в ночное время суток без надзора законного представителя, а также потребления алкогольной продукции.</w:t>
      </w:r>
    </w:p>
    <w:p w:rsidR="00B52DE3" w:rsidRDefault="00DE73E3">
      <w:pPr>
        <w:pStyle w:val="afff1"/>
        <w:spacing w:line="360" w:lineRule="auto"/>
        <w:ind w:left="0"/>
        <w:jc w:val="both"/>
      </w:pPr>
      <w:r>
        <w:rPr>
          <w:sz w:val="28"/>
          <w:szCs w:val="28"/>
        </w:rPr>
        <w:tab/>
        <w:t xml:space="preserve">На заседаниях комиссией рассмотрено 929 административных протокола, в том числе 292 административных материалов в отношении несовершеннолетних и 637 административных протоколов в отношении родителей (законных представителей) и иных лиц. </w:t>
      </w:r>
    </w:p>
    <w:p w:rsidR="00B52DE3" w:rsidRDefault="00DE73E3">
      <w:pPr>
        <w:pStyle w:val="afff1"/>
        <w:spacing w:line="360" w:lineRule="auto"/>
        <w:ind w:left="0"/>
        <w:jc w:val="both"/>
        <w:rPr>
          <w:sz w:val="28"/>
          <w:szCs w:val="28"/>
        </w:rPr>
      </w:pPr>
      <w:r>
        <w:rPr>
          <w:sz w:val="28"/>
          <w:szCs w:val="28"/>
        </w:rPr>
        <w:tab/>
        <w:t xml:space="preserve">Наибольшее количество вынесенных постановлений о назначении административного наказания по правонарушениям, связанным с неисполнением или ненадлежащим исполнением родителями или иными законными представителями несовершеннолетних обязанностей по содержанию, воспитанию, обучению, защите прав и интересов несовершеннолетних (ч. 1 ст. 5.35 </w:t>
      </w:r>
      <w:proofErr w:type="spellStart"/>
      <w:r>
        <w:rPr>
          <w:sz w:val="28"/>
          <w:szCs w:val="28"/>
        </w:rPr>
        <w:t>КоАП</w:t>
      </w:r>
      <w:proofErr w:type="spellEnd"/>
      <w:r>
        <w:rPr>
          <w:sz w:val="28"/>
          <w:szCs w:val="28"/>
        </w:rPr>
        <w:t xml:space="preserve"> РФ) – 623 постановления.</w:t>
      </w:r>
    </w:p>
    <w:p w:rsidR="00B52DE3" w:rsidRDefault="00DE73E3">
      <w:pPr>
        <w:pStyle w:val="afff1"/>
        <w:spacing w:line="360" w:lineRule="auto"/>
        <w:ind w:left="0"/>
        <w:jc w:val="both"/>
      </w:pPr>
      <w:r>
        <w:rPr>
          <w:sz w:val="28"/>
          <w:szCs w:val="28"/>
        </w:rPr>
        <w:t xml:space="preserve">Количество вынесенных комиссией постановлений о назначении административного наказания родителям за появление их несовершеннолетних детей в состоянии алкогольного опьянения (ст. 20.22 </w:t>
      </w:r>
      <w:proofErr w:type="spellStart"/>
      <w:r>
        <w:rPr>
          <w:sz w:val="28"/>
          <w:szCs w:val="28"/>
        </w:rPr>
        <w:t>КоАП</w:t>
      </w:r>
      <w:proofErr w:type="spellEnd"/>
      <w:r>
        <w:rPr>
          <w:sz w:val="28"/>
          <w:szCs w:val="28"/>
        </w:rPr>
        <w:t xml:space="preserve"> РФ) уменьшилось с 32 до 29. </w:t>
      </w:r>
    </w:p>
    <w:p w:rsidR="00B52DE3" w:rsidRDefault="00DE73E3">
      <w:pPr>
        <w:pStyle w:val="afff1"/>
        <w:spacing w:line="360" w:lineRule="auto"/>
        <w:ind w:left="0"/>
        <w:jc w:val="both"/>
        <w:rPr>
          <w:sz w:val="28"/>
          <w:szCs w:val="28"/>
        </w:rPr>
      </w:pPr>
      <w:r>
        <w:rPr>
          <w:sz w:val="28"/>
          <w:szCs w:val="28"/>
        </w:rPr>
        <w:lastRenderedPageBreak/>
        <w:tab/>
        <w:t>К административной ответственности привлечен 292 подростка,                         623 законных представителя, 14 иных лиц.</w:t>
      </w:r>
    </w:p>
    <w:p w:rsidR="00B52DE3" w:rsidRDefault="00DE73E3">
      <w:pPr>
        <w:pStyle w:val="afff1"/>
        <w:spacing w:line="360" w:lineRule="auto"/>
        <w:ind w:left="0"/>
        <w:jc w:val="both"/>
        <w:rPr>
          <w:sz w:val="28"/>
          <w:szCs w:val="28"/>
        </w:rPr>
      </w:pPr>
      <w:r>
        <w:rPr>
          <w:sz w:val="28"/>
          <w:szCs w:val="28"/>
        </w:rPr>
        <w:tab/>
        <w:t xml:space="preserve">Преобладающими правонарушениями среди подростков в 2025 года являются правонарушения, предусмотренные ст. 20.20 </w:t>
      </w:r>
      <w:proofErr w:type="spellStart"/>
      <w:r>
        <w:rPr>
          <w:sz w:val="28"/>
          <w:szCs w:val="28"/>
        </w:rPr>
        <w:t>КоАП</w:t>
      </w:r>
      <w:proofErr w:type="spellEnd"/>
      <w:r>
        <w:rPr>
          <w:sz w:val="28"/>
          <w:szCs w:val="28"/>
        </w:rPr>
        <w:t xml:space="preserve"> РФ (употребление алкогольной продукции) - 41 правонарушение (АППГ- 54), и ст. 6.24 </w:t>
      </w:r>
      <w:proofErr w:type="spellStart"/>
      <w:r>
        <w:rPr>
          <w:sz w:val="28"/>
          <w:szCs w:val="28"/>
        </w:rPr>
        <w:t>КоАП</w:t>
      </w:r>
      <w:proofErr w:type="spellEnd"/>
      <w:r>
        <w:rPr>
          <w:sz w:val="28"/>
          <w:szCs w:val="28"/>
        </w:rPr>
        <w:t xml:space="preserve"> РФ (употребление табачной продукции) - 62 правонарушений (АППГ- 42), ст.12.7 </w:t>
      </w:r>
      <w:proofErr w:type="spellStart"/>
      <w:r>
        <w:rPr>
          <w:sz w:val="28"/>
          <w:szCs w:val="28"/>
        </w:rPr>
        <w:t>КоАП</w:t>
      </w:r>
      <w:proofErr w:type="spellEnd"/>
      <w:r>
        <w:rPr>
          <w:sz w:val="28"/>
          <w:szCs w:val="28"/>
        </w:rPr>
        <w:t xml:space="preserve"> РФ - 51 правонарушений (АППГ- 30).</w:t>
      </w:r>
    </w:p>
    <w:p w:rsidR="00B52DE3" w:rsidRDefault="00DE73E3">
      <w:pPr>
        <w:pStyle w:val="afff1"/>
        <w:spacing w:line="360" w:lineRule="auto"/>
        <w:ind w:left="0"/>
        <w:jc w:val="both"/>
        <w:rPr>
          <w:sz w:val="28"/>
          <w:szCs w:val="28"/>
        </w:rPr>
      </w:pPr>
      <w:r>
        <w:rPr>
          <w:sz w:val="28"/>
          <w:szCs w:val="28"/>
        </w:rPr>
        <w:tab/>
        <w:t>Значимая часть вопросов, рассматриваемых комиссией, связана с организацией и проведением индивидуальной профилактической работы с семьями, находящимися в социально опасном положении и несовершеннолетними, нуждающимися в её проведении.</w:t>
      </w:r>
    </w:p>
    <w:p w:rsidR="00B52DE3" w:rsidRDefault="00DE73E3">
      <w:pPr>
        <w:pStyle w:val="afff1"/>
        <w:spacing w:line="360" w:lineRule="auto"/>
        <w:ind w:left="0"/>
        <w:jc w:val="both"/>
        <w:rPr>
          <w:sz w:val="28"/>
          <w:szCs w:val="28"/>
        </w:rPr>
      </w:pPr>
      <w:r>
        <w:rPr>
          <w:sz w:val="28"/>
          <w:szCs w:val="28"/>
        </w:rPr>
        <w:tab/>
        <w:t>С целью координации деятельности органов и учреждений системы профилактики в части организации работы по выявлению и учету несовершеннолетних и семей, находящихся в социально опасном положении,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 комиссией в отчетном периоде 2025 года проведены 4 рабочих встречи (АППГ – 4).</w:t>
      </w:r>
    </w:p>
    <w:p w:rsidR="00B52DE3" w:rsidRDefault="00DE73E3">
      <w:pPr>
        <w:pStyle w:val="afff1"/>
        <w:spacing w:line="360" w:lineRule="auto"/>
        <w:ind w:left="0"/>
        <w:jc w:val="both"/>
        <w:rPr>
          <w:sz w:val="28"/>
          <w:szCs w:val="28"/>
        </w:rPr>
      </w:pPr>
      <w:r>
        <w:rPr>
          <w:sz w:val="28"/>
          <w:szCs w:val="28"/>
        </w:rPr>
        <w:tab/>
        <w:t>Органами и учреждениями системы профилактики округа выявлено и поставлено на учет семей, как находящихся в социально опасном положении – 75. Снято с профилактического учета 38 семей (АППГ – 60) по следующим основаниям:</w:t>
      </w:r>
    </w:p>
    <w:p w:rsidR="00B52DE3" w:rsidRDefault="00DE73E3">
      <w:pPr>
        <w:pStyle w:val="afff1"/>
        <w:spacing w:line="360" w:lineRule="auto"/>
        <w:ind w:left="0" w:firstLine="709"/>
        <w:jc w:val="both"/>
        <w:rPr>
          <w:sz w:val="28"/>
          <w:szCs w:val="28"/>
        </w:rPr>
      </w:pPr>
      <w:r>
        <w:rPr>
          <w:sz w:val="28"/>
          <w:szCs w:val="28"/>
        </w:rPr>
        <w:t>устранение социально опасного положения – 19 (АППГ – 45);</w:t>
      </w:r>
    </w:p>
    <w:p w:rsidR="00B52DE3" w:rsidRDefault="00DE73E3">
      <w:pPr>
        <w:pStyle w:val="afff1"/>
        <w:spacing w:line="360" w:lineRule="auto"/>
        <w:ind w:left="0" w:firstLine="709"/>
        <w:jc w:val="both"/>
        <w:rPr>
          <w:sz w:val="28"/>
          <w:szCs w:val="28"/>
        </w:rPr>
      </w:pPr>
      <w:r>
        <w:rPr>
          <w:sz w:val="28"/>
          <w:szCs w:val="28"/>
        </w:rPr>
        <w:t>лишение/ограничение в родительских правах – 5 (АППГ – 6);</w:t>
      </w:r>
    </w:p>
    <w:p w:rsidR="00B52DE3" w:rsidRDefault="00DE73E3">
      <w:pPr>
        <w:pStyle w:val="afff1"/>
        <w:spacing w:line="360" w:lineRule="auto"/>
        <w:ind w:left="0" w:firstLine="709"/>
        <w:jc w:val="both"/>
        <w:rPr>
          <w:sz w:val="28"/>
          <w:szCs w:val="28"/>
        </w:rPr>
      </w:pPr>
      <w:r>
        <w:rPr>
          <w:sz w:val="28"/>
          <w:szCs w:val="28"/>
        </w:rPr>
        <w:t xml:space="preserve">иные причины (выезд за пределы УГО, смерть) - 7 (АППГ – 9). </w:t>
      </w:r>
    </w:p>
    <w:p w:rsidR="00B52DE3" w:rsidRDefault="00DE73E3">
      <w:pPr>
        <w:pStyle w:val="afff1"/>
        <w:spacing w:line="360" w:lineRule="auto"/>
        <w:ind w:left="0"/>
        <w:jc w:val="both"/>
        <w:rPr>
          <w:sz w:val="28"/>
          <w:szCs w:val="28"/>
        </w:rPr>
      </w:pPr>
      <w:r>
        <w:rPr>
          <w:sz w:val="28"/>
          <w:szCs w:val="28"/>
        </w:rPr>
        <w:tab/>
        <w:t xml:space="preserve">Всего на учете по состоянию на 31 декабря 2025 года состоит 37 семей (АППГ – 56), в которых воспитываются 94 ребенка  (АППГ – 144), а также 103 подростка состоят на учете за совершение правонарушений и преступлений (АППГ - 96), снято с учета 132 несовершеннолетних, из них            </w:t>
      </w:r>
      <w:r>
        <w:rPr>
          <w:sz w:val="28"/>
          <w:szCs w:val="28"/>
        </w:rPr>
        <w:lastRenderedPageBreak/>
        <w:t>79 подростка, в связи с исправлением.</w:t>
      </w:r>
    </w:p>
    <w:p w:rsidR="00B52DE3" w:rsidRDefault="00DE73E3">
      <w:pPr>
        <w:pStyle w:val="afff1"/>
        <w:spacing w:line="360" w:lineRule="auto"/>
        <w:ind w:left="0" w:firstLine="709"/>
        <w:jc w:val="both"/>
        <w:rPr>
          <w:sz w:val="28"/>
          <w:szCs w:val="28"/>
        </w:rPr>
      </w:pPr>
      <w:r>
        <w:rPr>
          <w:sz w:val="28"/>
          <w:szCs w:val="28"/>
        </w:rPr>
        <w:t xml:space="preserve">Рассмотрено 15 материалов, поступивших из КГОБУ «Приморское специальное учебно-воспитательное учреждение для обучающихся с </w:t>
      </w:r>
      <w:proofErr w:type="spellStart"/>
      <w:r>
        <w:rPr>
          <w:sz w:val="28"/>
          <w:szCs w:val="28"/>
        </w:rPr>
        <w:t>девиантным</w:t>
      </w:r>
      <w:proofErr w:type="spellEnd"/>
      <w:r>
        <w:rPr>
          <w:sz w:val="28"/>
          <w:szCs w:val="28"/>
        </w:rPr>
        <w:t xml:space="preserve"> поведением им. Т.М. Тихого», о досрочном прекращении пребывания 12 воспитанников и 3 воспитанника о переводе для дальнейшего содержания в учреждение закрытого типа.</w:t>
      </w:r>
    </w:p>
    <w:p w:rsidR="00B52DE3" w:rsidRDefault="00DE73E3">
      <w:pPr>
        <w:pStyle w:val="afff1"/>
        <w:spacing w:line="360" w:lineRule="auto"/>
        <w:ind w:left="0" w:firstLine="709"/>
        <w:jc w:val="both"/>
        <w:rPr>
          <w:sz w:val="28"/>
          <w:szCs w:val="28"/>
        </w:rPr>
      </w:pPr>
      <w:r>
        <w:rPr>
          <w:sz w:val="28"/>
          <w:szCs w:val="28"/>
        </w:rPr>
        <w:t>В органы опеки и попечительства заключения комиссии о подготовке материалов о лишении родительских прав для направления в суд не направлялись. В Уссурийский районный суд исковые заявления об ограничении родительских прав в отношении родителей, ненадлежащим образом исполняющих свои родительские обязанности, также не направлялись.</w:t>
      </w:r>
    </w:p>
    <w:p w:rsidR="00B52DE3" w:rsidRDefault="00DE73E3">
      <w:pPr>
        <w:pStyle w:val="afff1"/>
        <w:spacing w:line="360" w:lineRule="auto"/>
        <w:ind w:left="0" w:firstLine="709"/>
        <w:jc w:val="both"/>
        <w:rPr>
          <w:sz w:val="28"/>
          <w:szCs w:val="28"/>
        </w:rPr>
      </w:pPr>
      <w:r>
        <w:rPr>
          <w:sz w:val="28"/>
          <w:szCs w:val="28"/>
        </w:rPr>
        <w:t>Организованы и проведены межведомственные рейдовые мероприятия по проверке семей несовершеннолетних, требующих контроля со стороны органов и учреждений системы профилактики безнадзорности и правонарушений несовершеннолетних - 123 (АППГ – 116).</w:t>
      </w:r>
    </w:p>
    <w:p w:rsidR="00B52DE3" w:rsidRPr="00ED6529" w:rsidRDefault="00DE73E3">
      <w:pPr>
        <w:pStyle w:val="afff1"/>
        <w:spacing w:line="360" w:lineRule="auto"/>
        <w:ind w:left="0" w:firstLine="709"/>
        <w:jc w:val="both"/>
        <w:rPr>
          <w:sz w:val="28"/>
          <w:szCs w:val="28"/>
        </w:rPr>
      </w:pPr>
      <w:r w:rsidRPr="00ED6529">
        <w:rPr>
          <w:sz w:val="28"/>
          <w:szCs w:val="28"/>
        </w:rPr>
        <w:t xml:space="preserve">С начала года к уголовной ответственности привлечен (по оконченным уголовным делам), </w:t>
      </w:r>
      <w:r w:rsidR="00437FC7" w:rsidRPr="00ED6529">
        <w:rPr>
          <w:sz w:val="28"/>
          <w:szCs w:val="28"/>
        </w:rPr>
        <w:t xml:space="preserve">31 человек, </w:t>
      </w:r>
      <w:r w:rsidRPr="00ED6529">
        <w:rPr>
          <w:sz w:val="28"/>
          <w:szCs w:val="28"/>
        </w:rPr>
        <w:t>24 из них в возрасте от 16 до 17 лет, 7 из них в возрасте от 11 до 15 лет,  9 из них иногородние</w:t>
      </w:r>
    </w:p>
    <w:p w:rsidR="00B52DE3" w:rsidRDefault="00DE73E3">
      <w:pPr>
        <w:pStyle w:val="afff1"/>
        <w:spacing w:line="360" w:lineRule="auto"/>
        <w:ind w:left="0"/>
        <w:jc w:val="both"/>
        <w:rPr>
          <w:sz w:val="28"/>
          <w:szCs w:val="28"/>
        </w:rPr>
      </w:pPr>
      <w:r>
        <w:rPr>
          <w:sz w:val="28"/>
          <w:szCs w:val="28"/>
        </w:rPr>
        <w:tab/>
        <w:t>Количество преступлений, совершенных несовершеннолетними в группе - 11 (АППГ- 3). Несовершеннолетними при участии взрослых совершено 3 преступлений (АППГ – 11). Количество учащихся несовершеннолетних, совершивших преступления - 33 (АППГ- 32). Ранее совершавшие преступления – 8 (АППГ- 9).</w:t>
      </w:r>
    </w:p>
    <w:p w:rsidR="00B52DE3" w:rsidRDefault="00DE73E3">
      <w:pPr>
        <w:pStyle w:val="afff1"/>
        <w:spacing w:line="360" w:lineRule="auto"/>
        <w:ind w:left="0" w:firstLine="709"/>
        <w:jc w:val="both"/>
        <w:rPr>
          <w:sz w:val="28"/>
          <w:szCs w:val="28"/>
        </w:rPr>
      </w:pPr>
      <w:r>
        <w:rPr>
          <w:sz w:val="28"/>
          <w:szCs w:val="28"/>
        </w:rPr>
        <w:t>Раннее судимых несовершеннолетних, вновь совершивших преступления – 2 (АППГ- 3). Количество условно-осужденных несовершеннолетних, совершивших преступление в период испытательного срока –1 (АППГ- 0).</w:t>
      </w:r>
    </w:p>
    <w:p w:rsidR="00B52DE3" w:rsidRDefault="00DE73E3">
      <w:pPr>
        <w:pStyle w:val="afff1"/>
        <w:spacing w:line="360" w:lineRule="auto"/>
        <w:ind w:left="0" w:firstLine="709"/>
        <w:jc w:val="both"/>
        <w:rPr>
          <w:sz w:val="28"/>
          <w:szCs w:val="28"/>
        </w:rPr>
      </w:pPr>
      <w:r>
        <w:rPr>
          <w:sz w:val="28"/>
          <w:szCs w:val="28"/>
        </w:rPr>
        <w:t xml:space="preserve">Количество краж, совершенных несовершеннолетними за 12 месяцев </w:t>
      </w:r>
      <w:r>
        <w:rPr>
          <w:sz w:val="28"/>
          <w:szCs w:val="28"/>
        </w:rPr>
        <w:lastRenderedPageBreak/>
        <w:t>2025 года - 24 (АППГ-21), краж сотовых телефонов –8 (АППГ- 12), краж из квартир – 1 (АППГ-0), грабежей – 5 (АППГ-4), разбои – 1 (АППГ – 2), неправомерное завладение транспортным средством – 3 (АППГ – 0).</w:t>
      </w:r>
    </w:p>
    <w:p w:rsidR="00B52DE3" w:rsidRDefault="00DE73E3">
      <w:pPr>
        <w:pStyle w:val="afff1"/>
        <w:spacing w:line="360" w:lineRule="auto"/>
        <w:ind w:left="0" w:firstLine="709"/>
        <w:jc w:val="both"/>
        <w:rPr>
          <w:sz w:val="28"/>
          <w:szCs w:val="28"/>
        </w:rPr>
      </w:pPr>
      <w:r>
        <w:rPr>
          <w:sz w:val="28"/>
          <w:szCs w:val="28"/>
        </w:rPr>
        <w:t>За 12 месяцев 2025 года на территории Уссурийского городского округа Приморско</w:t>
      </w:r>
      <w:r w:rsidR="001918ED">
        <w:rPr>
          <w:sz w:val="28"/>
          <w:szCs w:val="28"/>
        </w:rPr>
        <w:t>го края совершено 2 преступления</w:t>
      </w:r>
      <w:r>
        <w:rPr>
          <w:sz w:val="28"/>
          <w:szCs w:val="28"/>
        </w:rPr>
        <w:t xml:space="preserve">, связанные с незаконным оборотом наркотиков (АППГ- 8).  Несовершеннолетних, совершивших преступление в состоянии алкогольного опьянения - 0 (АППГ- 0). </w:t>
      </w:r>
    </w:p>
    <w:p w:rsidR="00B52DE3" w:rsidRDefault="00DE73E3">
      <w:pPr>
        <w:pStyle w:val="afff1"/>
        <w:spacing w:line="360" w:lineRule="auto"/>
        <w:ind w:left="0" w:firstLine="709"/>
        <w:jc w:val="both"/>
        <w:rPr>
          <w:sz w:val="28"/>
          <w:szCs w:val="28"/>
        </w:rPr>
      </w:pPr>
      <w:r>
        <w:rPr>
          <w:sz w:val="28"/>
          <w:szCs w:val="28"/>
        </w:rPr>
        <w:t>Также несовершеннолетних, совершивших преступление в состоянии наркотического или токсического возбуждения – 0 (АППГ-1).</w:t>
      </w:r>
    </w:p>
    <w:p w:rsidR="00B52DE3" w:rsidRDefault="00DE73E3">
      <w:pPr>
        <w:pStyle w:val="afff1"/>
        <w:spacing w:line="360" w:lineRule="auto"/>
        <w:ind w:left="0"/>
        <w:jc w:val="both"/>
        <w:rPr>
          <w:sz w:val="28"/>
          <w:szCs w:val="28"/>
        </w:rPr>
      </w:pPr>
      <w:r>
        <w:rPr>
          <w:sz w:val="28"/>
          <w:szCs w:val="28"/>
        </w:rPr>
        <w:tab/>
        <w:t>Направлено материалов в органы предварительного следствия для возбуждения уголовного дела по ст. 156 -7 (АППГ - 4).</w:t>
      </w:r>
    </w:p>
    <w:p w:rsidR="00B52DE3" w:rsidRPr="00ED6529" w:rsidRDefault="00DE73E3" w:rsidP="00500CFB">
      <w:pPr>
        <w:pStyle w:val="afff1"/>
        <w:spacing w:line="360" w:lineRule="auto"/>
        <w:ind w:left="0" w:firstLine="709"/>
        <w:jc w:val="both"/>
        <w:rPr>
          <w:sz w:val="28"/>
          <w:szCs w:val="28"/>
        </w:rPr>
      </w:pPr>
      <w:r>
        <w:rPr>
          <w:sz w:val="28"/>
          <w:szCs w:val="28"/>
        </w:rPr>
        <w:t>Возбуждено уголовных дел по ст.156 УК РФ – 1 (АППГ - 1). Возбуждено уголовных дел по ч. 2 ст. 117 УК РФ – 3 (АППГ – 0). Выявлено и поставлено на учет родителей, отрицательно влияющих на детей –57 (АППГ - 64); состоит на учете родителей, отрицательно влияющих на детей - 98 (АППГ – 103).</w:t>
      </w:r>
      <w:r>
        <w:rPr>
          <w:sz w:val="28"/>
          <w:szCs w:val="28"/>
        </w:rPr>
        <w:tab/>
        <w:t xml:space="preserve">Общее количество заявленных без вести пропавшими                                  142 несовершеннолетних (АППГ – 125), из них не имеющих умысла на самовольный уход – 55, число несовершеннолетних, в отношении которых поступили заявления о розыске, допустивших самовольный уход </w:t>
      </w:r>
      <w:r w:rsidRPr="00ED6529">
        <w:rPr>
          <w:sz w:val="28"/>
          <w:szCs w:val="28"/>
        </w:rPr>
        <w:t>7</w:t>
      </w:r>
      <w:r w:rsidR="00ED6529" w:rsidRPr="00ED6529">
        <w:rPr>
          <w:sz w:val="28"/>
          <w:szCs w:val="28"/>
        </w:rPr>
        <w:t>9</w:t>
      </w:r>
      <w:r w:rsidRPr="00ED6529">
        <w:rPr>
          <w:sz w:val="28"/>
          <w:szCs w:val="28"/>
        </w:rPr>
        <w:t xml:space="preserve"> (неоднократно - 18, впервые - 61).</w:t>
      </w:r>
    </w:p>
    <w:p w:rsidR="00B52DE3" w:rsidRDefault="00DE73E3">
      <w:pPr>
        <w:pStyle w:val="afff1"/>
        <w:spacing w:line="360" w:lineRule="auto"/>
        <w:ind w:left="0" w:firstLine="709"/>
        <w:jc w:val="both"/>
        <w:rPr>
          <w:sz w:val="28"/>
          <w:szCs w:val="28"/>
        </w:rPr>
      </w:pPr>
      <w:r>
        <w:rPr>
          <w:sz w:val="28"/>
          <w:szCs w:val="28"/>
        </w:rPr>
        <w:t>С целью предупреждения совершения подростками правонарушений и преступлений сотрудниками полиции в период с 23 января 2025 года                              по 01 апреля 2025 года проведены акции: «Не оступись», «Семья», «Сообщи, где торгуют смертью».</w:t>
      </w:r>
    </w:p>
    <w:p w:rsidR="00B52DE3" w:rsidRDefault="00DE73E3">
      <w:pPr>
        <w:pStyle w:val="afff1"/>
        <w:spacing w:line="360" w:lineRule="auto"/>
        <w:ind w:left="0" w:firstLine="709"/>
        <w:jc w:val="both"/>
        <w:rPr>
          <w:sz w:val="28"/>
          <w:szCs w:val="28"/>
        </w:rPr>
      </w:pPr>
      <w:r>
        <w:rPr>
          <w:sz w:val="28"/>
          <w:szCs w:val="28"/>
        </w:rPr>
        <w:t>Ежеквартально несовершеннолетние, состоящие на различных видах учета, проверяются по месту жительства и учебы, с ними проводятся индивидуальные беседы, устанавливается круг их общения, собирается характеризующий материал о поведении в быту.</w:t>
      </w:r>
    </w:p>
    <w:p w:rsidR="00B52DE3" w:rsidRDefault="00DE73E3">
      <w:pPr>
        <w:pStyle w:val="afff1"/>
        <w:spacing w:line="360" w:lineRule="auto"/>
        <w:ind w:left="0" w:firstLine="709"/>
        <w:jc w:val="both"/>
      </w:pPr>
      <w:r>
        <w:rPr>
          <w:sz w:val="28"/>
          <w:szCs w:val="28"/>
        </w:rPr>
        <w:lastRenderedPageBreak/>
        <w:t xml:space="preserve">Также, в 2025 году в работу комиссии введены ночные рейдовые мероприятия совместно с ОМВД РФ по г. Уссурийску, с некоммерческой организацией «Северный человек». Цель рейдовых мероприятий, с целью выявления несовершеннолетних в ночное время суток без надзора законного представителя, а также потребления алкогольной продукции. Проведено                        14 рейдовых мероприятий, выявлено 49 несовершеннолетних, находящихся в питейных заведения в ночное время. </w:t>
      </w:r>
    </w:p>
    <w:p w:rsidR="00B52DE3" w:rsidRDefault="00DE73E3">
      <w:pPr>
        <w:pStyle w:val="afff1"/>
        <w:spacing w:line="360" w:lineRule="auto"/>
        <w:ind w:left="0"/>
        <w:jc w:val="both"/>
        <w:rPr>
          <w:sz w:val="28"/>
          <w:szCs w:val="28"/>
        </w:rPr>
      </w:pPr>
      <w:r>
        <w:rPr>
          <w:sz w:val="28"/>
          <w:szCs w:val="28"/>
        </w:rPr>
        <w:tab/>
        <w:t xml:space="preserve">В 2025 году в образовательных учреждениях проведены 1482 (АППГ -1574) лекций и бесед о недопустимости совершения преступлений имущественного характера, по профилактике наркомании, алкоголизма, экстремизма и терроризма, </w:t>
      </w:r>
      <w:proofErr w:type="spellStart"/>
      <w:r>
        <w:rPr>
          <w:sz w:val="28"/>
          <w:szCs w:val="28"/>
        </w:rPr>
        <w:t>военно</w:t>
      </w:r>
      <w:proofErr w:type="spellEnd"/>
      <w:r>
        <w:rPr>
          <w:sz w:val="28"/>
          <w:szCs w:val="28"/>
        </w:rPr>
        <w:t xml:space="preserve"> –патриотические темы. </w:t>
      </w:r>
    </w:p>
    <w:p w:rsidR="00B52DE3" w:rsidRDefault="00DE73E3">
      <w:pPr>
        <w:pStyle w:val="afff1"/>
        <w:spacing w:line="360" w:lineRule="auto"/>
        <w:ind w:left="0"/>
        <w:jc w:val="both"/>
        <w:rPr>
          <w:sz w:val="28"/>
          <w:szCs w:val="28"/>
        </w:rPr>
      </w:pPr>
      <w:r>
        <w:rPr>
          <w:sz w:val="28"/>
          <w:szCs w:val="28"/>
        </w:rPr>
        <w:tab/>
        <w:t xml:space="preserve">Факты совершения транспортных правонарушений и преступлений на участке оперативного обслуживания ЛО МВД РФ на ст. Уссурийск за отчетный период не зарегистрированы. Несчастные случаи, в которых пострадали несовершеннолетние, не допущены.  </w:t>
      </w:r>
    </w:p>
    <w:p w:rsidR="00B52DE3" w:rsidRDefault="00DE73E3">
      <w:pPr>
        <w:pStyle w:val="afff1"/>
        <w:spacing w:line="360" w:lineRule="auto"/>
        <w:ind w:left="0" w:firstLine="708"/>
        <w:jc w:val="both"/>
        <w:rPr>
          <w:sz w:val="28"/>
          <w:szCs w:val="28"/>
        </w:rPr>
      </w:pPr>
      <w:r>
        <w:rPr>
          <w:sz w:val="28"/>
          <w:szCs w:val="28"/>
        </w:rPr>
        <w:t>В рамках координации деятельности органов и учреждений системы профилактики безнадзорности и правонарушений несовершеннолетних на территории округа комиссией по делам несовершеннолетних и защите их прав проведено:</w:t>
      </w:r>
    </w:p>
    <w:p w:rsidR="00B52DE3" w:rsidRDefault="00DE73E3">
      <w:pPr>
        <w:pStyle w:val="afff1"/>
        <w:spacing w:line="360" w:lineRule="auto"/>
        <w:ind w:left="0" w:firstLine="708"/>
        <w:jc w:val="both"/>
        <w:rPr>
          <w:sz w:val="28"/>
          <w:szCs w:val="28"/>
        </w:rPr>
      </w:pPr>
      <w:r>
        <w:rPr>
          <w:sz w:val="28"/>
          <w:szCs w:val="28"/>
        </w:rPr>
        <w:t>заседание КДН и ЗП по итогам работы за 2025 год, где были заслушаны руководители органов и учреждений системы профилактики безнадзорности и правонарушений несовершеннолетних, даны поручения и осуществляется контроль исполнения (февраль);</w:t>
      </w:r>
    </w:p>
    <w:p w:rsidR="00B52DE3" w:rsidRDefault="00DE73E3">
      <w:pPr>
        <w:pStyle w:val="afff1"/>
        <w:spacing w:line="360" w:lineRule="auto"/>
        <w:ind w:left="0" w:firstLine="708"/>
        <w:jc w:val="both"/>
        <w:rPr>
          <w:sz w:val="28"/>
          <w:szCs w:val="28"/>
        </w:rPr>
      </w:pPr>
      <w:r>
        <w:rPr>
          <w:sz w:val="28"/>
          <w:szCs w:val="28"/>
        </w:rPr>
        <w:t>организованы и проведены совместно с управлением образования и молодежной политики проверки по вопросам профилактической работы с несовершеннолетними, состоящими на всех видах профилактического учета, обучающихся в образовательных учреждениях округа (март - май);</w:t>
      </w:r>
    </w:p>
    <w:p w:rsidR="00B52DE3" w:rsidRDefault="00DE73E3">
      <w:pPr>
        <w:pStyle w:val="afff1"/>
        <w:spacing w:line="360" w:lineRule="auto"/>
        <w:ind w:left="0" w:firstLine="708"/>
        <w:jc w:val="both"/>
        <w:rPr>
          <w:sz w:val="28"/>
          <w:szCs w:val="28"/>
        </w:rPr>
      </w:pPr>
      <w:r>
        <w:rPr>
          <w:sz w:val="28"/>
          <w:szCs w:val="28"/>
        </w:rPr>
        <w:t xml:space="preserve">организованы и проведены встречи с представителями следственных органов и прокуратуры Уссурийского городского округа Приморского края </w:t>
      </w:r>
      <w:r>
        <w:rPr>
          <w:sz w:val="28"/>
          <w:szCs w:val="28"/>
        </w:rPr>
        <w:lastRenderedPageBreak/>
        <w:t>по профилактике совершения преступлений в отношении несовершеннолетних, в том числе против половой неприкосновенности (ежеквартально, в течение 2025 года);</w:t>
      </w:r>
    </w:p>
    <w:p w:rsidR="00B52DE3" w:rsidRDefault="00DE73E3">
      <w:pPr>
        <w:pStyle w:val="afff1"/>
        <w:spacing w:line="360" w:lineRule="auto"/>
        <w:ind w:left="0" w:firstLine="708"/>
        <w:jc w:val="both"/>
        <w:rPr>
          <w:sz w:val="28"/>
          <w:szCs w:val="28"/>
        </w:rPr>
      </w:pPr>
      <w:r>
        <w:rPr>
          <w:sz w:val="28"/>
          <w:szCs w:val="28"/>
        </w:rPr>
        <w:t xml:space="preserve">в рамках проведения мероприятия муниципальной программы «Организация и осуществление мероприятий по работе с молодежью в Уссурийском городском округе Приморского края» на 2021-2025 годы, утвержденной постановлением администрации Уссурийского городского округа от 23 декабря 2020 года № 2788-НПА, осуществлено летнее трудоустройство 7 </w:t>
      </w:r>
      <w:proofErr w:type="spellStart"/>
      <w:r>
        <w:rPr>
          <w:sz w:val="28"/>
          <w:szCs w:val="28"/>
        </w:rPr>
        <w:t>подучетных</w:t>
      </w:r>
      <w:proofErr w:type="spellEnd"/>
      <w:r>
        <w:rPr>
          <w:sz w:val="28"/>
          <w:szCs w:val="28"/>
        </w:rPr>
        <w:t xml:space="preserve"> несовершеннолетних на базе «</w:t>
      </w:r>
      <w:proofErr w:type="spellStart"/>
      <w:r>
        <w:rPr>
          <w:sz w:val="28"/>
          <w:szCs w:val="28"/>
        </w:rPr>
        <w:t>Детско</w:t>
      </w:r>
      <w:proofErr w:type="spellEnd"/>
      <w:r>
        <w:rPr>
          <w:sz w:val="28"/>
          <w:szCs w:val="28"/>
        </w:rPr>
        <w:t xml:space="preserve"> - юношеской спортивной школы»;</w:t>
      </w:r>
    </w:p>
    <w:p w:rsidR="00B52DE3" w:rsidRDefault="00DE73E3">
      <w:pPr>
        <w:pStyle w:val="afff1"/>
        <w:spacing w:line="360" w:lineRule="auto"/>
        <w:ind w:left="0" w:firstLine="708"/>
        <w:jc w:val="both"/>
        <w:rPr>
          <w:sz w:val="28"/>
          <w:szCs w:val="28"/>
        </w:rPr>
      </w:pPr>
      <w:r>
        <w:rPr>
          <w:sz w:val="28"/>
          <w:szCs w:val="28"/>
        </w:rPr>
        <w:t>с целью организации досуга несовершеннолетних, организовано  бесплатное посещение МАУ ПБ «Чайка», спортивных секций.</w:t>
      </w:r>
    </w:p>
    <w:p w:rsidR="00B52DE3" w:rsidRDefault="00DE73E3" w:rsidP="005B6665">
      <w:pPr>
        <w:pStyle w:val="afff1"/>
        <w:spacing w:line="360" w:lineRule="auto"/>
        <w:ind w:left="0" w:firstLine="709"/>
        <w:jc w:val="both"/>
        <w:rPr>
          <w:sz w:val="28"/>
          <w:szCs w:val="28"/>
        </w:rPr>
      </w:pPr>
      <w:r>
        <w:rPr>
          <w:sz w:val="28"/>
          <w:szCs w:val="28"/>
        </w:rPr>
        <w:t>В рамках проведения мероприятий, посвященных Международному дню борьбы с наркоманией, организована и проведена  следующая работа:</w:t>
      </w:r>
    </w:p>
    <w:p w:rsidR="00B52DE3" w:rsidRDefault="00DE73E3">
      <w:pPr>
        <w:pStyle w:val="afff1"/>
        <w:spacing w:line="360" w:lineRule="auto"/>
        <w:ind w:left="0"/>
        <w:jc w:val="both"/>
        <w:rPr>
          <w:sz w:val="28"/>
          <w:szCs w:val="28"/>
        </w:rPr>
      </w:pPr>
      <w:r>
        <w:rPr>
          <w:sz w:val="28"/>
          <w:szCs w:val="28"/>
        </w:rPr>
        <w:tab/>
        <w:t>распространены брошюры среди несовершеннолетних «Скажи, нет наркотикам, не ломай свою жизнь», «Поговорим с ребенком о наркотиках»;</w:t>
      </w:r>
    </w:p>
    <w:p w:rsidR="00B52DE3" w:rsidRDefault="00DE73E3">
      <w:pPr>
        <w:pStyle w:val="afff1"/>
        <w:spacing w:line="360" w:lineRule="auto"/>
        <w:ind w:left="0"/>
        <w:jc w:val="both"/>
        <w:rPr>
          <w:sz w:val="28"/>
          <w:szCs w:val="28"/>
        </w:rPr>
      </w:pPr>
      <w:r>
        <w:rPr>
          <w:sz w:val="28"/>
          <w:szCs w:val="28"/>
        </w:rPr>
        <w:tab/>
        <w:t xml:space="preserve">на базах МБОУ «О(С)ОШ № 2», КГА ПОУ «ДВТК», КГА ПОУ «АТК», МБОУ «СОШ № 28», МБОУ «СОШ № 14» и другие образовательные учреждения специалистами комиссии проведены викторины, анкетирование на тему вреда потребления наркотиков, </w:t>
      </w:r>
      <w:proofErr w:type="spellStart"/>
      <w:r>
        <w:rPr>
          <w:sz w:val="28"/>
          <w:szCs w:val="28"/>
        </w:rPr>
        <w:t>табакокурения</w:t>
      </w:r>
      <w:proofErr w:type="spellEnd"/>
      <w:r>
        <w:rPr>
          <w:sz w:val="28"/>
          <w:szCs w:val="28"/>
        </w:rPr>
        <w:t xml:space="preserve">; демонстрация видеороликов </w:t>
      </w:r>
      <w:proofErr w:type="spellStart"/>
      <w:r>
        <w:rPr>
          <w:sz w:val="28"/>
          <w:szCs w:val="28"/>
        </w:rPr>
        <w:t>антинаркотического</w:t>
      </w:r>
      <w:proofErr w:type="spellEnd"/>
      <w:r>
        <w:rPr>
          <w:sz w:val="28"/>
          <w:szCs w:val="28"/>
        </w:rPr>
        <w:t xml:space="preserve"> характера;</w:t>
      </w:r>
    </w:p>
    <w:p w:rsidR="00B52DE3" w:rsidRDefault="00DE73E3">
      <w:pPr>
        <w:pStyle w:val="afff1"/>
        <w:spacing w:line="360" w:lineRule="auto"/>
        <w:ind w:left="0"/>
        <w:jc w:val="both"/>
        <w:rPr>
          <w:sz w:val="28"/>
          <w:szCs w:val="28"/>
        </w:rPr>
      </w:pPr>
      <w:r>
        <w:rPr>
          <w:sz w:val="28"/>
          <w:szCs w:val="28"/>
        </w:rPr>
        <w:tab/>
        <w:t xml:space="preserve">в рамках проведения Общероссийской  </w:t>
      </w:r>
      <w:proofErr w:type="spellStart"/>
      <w:r>
        <w:rPr>
          <w:sz w:val="28"/>
          <w:szCs w:val="28"/>
        </w:rPr>
        <w:t>антинаркотической</w:t>
      </w:r>
      <w:proofErr w:type="spellEnd"/>
      <w:r>
        <w:rPr>
          <w:sz w:val="28"/>
          <w:szCs w:val="28"/>
        </w:rPr>
        <w:t xml:space="preserve"> акции «Сообщи, где торгуют смертью» сотрудники ГБУЗ «КПБ № 1» совместно со специалистом – экспертом отдела по контролю за оборотом наркотиков ОМВД России по г. Уссурийску, инспектором ОДН ОУУП и ПДН ОМВД России по г. Уссурийску, провели профилактическую лекцию </w:t>
      </w:r>
      <w:proofErr w:type="spellStart"/>
      <w:r>
        <w:rPr>
          <w:sz w:val="28"/>
          <w:szCs w:val="28"/>
        </w:rPr>
        <w:t>антинаркотической</w:t>
      </w:r>
      <w:proofErr w:type="spellEnd"/>
      <w:r>
        <w:rPr>
          <w:sz w:val="28"/>
          <w:szCs w:val="28"/>
        </w:rPr>
        <w:t xml:space="preserve"> направленности с демонстрацией видеоматериалов для учащихся КГА ПОУ «ДВТК», КГА ПОУ «АТК», МБОУ «СОШ № 28», МБОУ «СОШ № 31», МБОУ «СОШ № 11», направленную на формирование </w:t>
      </w:r>
      <w:r>
        <w:rPr>
          <w:sz w:val="28"/>
          <w:szCs w:val="28"/>
        </w:rPr>
        <w:lastRenderedPageBreak/>
        <w:t xml:space="preserve">ценностей здорового образа жизни и профилактику правонарушений и преступлений в сфере незаконного оборота наркотиков. </w:t>
      </w:r>
    </w:p>
    <w:p w:rsidR="00B52DE3" w:rsidRDefault="00DE73E3">
      <w:pPr>
        <w:pStyle w:val="afff1"/>
        <w:spacing w:line="360" w:lineRule="auto"/>
        <w:ind w:left="0" w:firstLine="709"/>
        <w:jc w:val="both"/>
        <w:rPr>
          <w:sz w:val="28"/>
          <w:szCs w:val="28"/>
        </w:rPr>
      </w:pPr>
      <w:r>
        <w:rPr>
          <w:sz w:val="28"/>
          <w:szCs w:val="28"/>
        </w:rPr>
        <w:t xml:space="preserve">В целях стабилизации уровня подростковой преступности, предупреждения совершения несовершеннолетними правонарушений в округе проведены оперативно – профилактические мероприятия и операции: «Подросток», «Группа», целевые оперативно – профилактические мероприятия по выявлению и пресечению преступлений и административных правонарушений, связанных с продажей несовершеннолетним алкогольной продукции. </w:t>
      </w:r>
    </w:p>
    <w:p w:rsidR="00B52DE3" w:rsidRDefault="00DE73E3">
      <w:pPr>
        <w:pStyle w:val="afff1"/>
        <w:spacing w:line="360" w:lineRule="auto"/>
        <w:ind w:left="0" w:firstLine="708"/>
        <w:jc w:val="both"/>
        <w:rPr>
          <w:sz w:val="28"/>
          <w:szCs w:val="28"/>
        </w:rPr>
      </w:pPr>
      <w:r>
        <w:rPr>
          <w:sz w:val="28"/>
          <w:szCs w:val="28"/>
        </w:rPr>
        <w:t>В целях профилактики деструктивного поведения несовершеннолетних в образовательных учреждениях округа проведены информационные и разъяснительные мероприятия среди обучающихся и их родителей (законных представителей).</w:t>
      </w:r>
    </w:p>
    <w:p w:rsidR="00B52DE3" w:rsidRDefault="00DE73E3">
      <w:pPr>
        <w:pStyle w:val="afff1"/>
        <w:spacing w:line="360" w:lineRule="auto"/>
        <w:ind w:left="0" w:firstLine="708"/>
        <w:jc w:val="both"/>
        <w:rPr>
          <w:sz w:val="28"/>
          <w:szCs w:val="28"/>
        </w:rPr>
      </w:pPr>
      <w:r>
        <w:rPr>
          <w:sz w:val="28"/>
          <w:szCs w:val="28"/>
        </w:rPr>
        <w:t xml:space="preserve">В целях профилактики </w:t>
      </w:r>
      <w:proofErr w:type="spellStart"/>
      <w:r>
        <w:rPr>
          <w:sz w:val="28"/>
          <w:szCs w:val="28"/>
        </w:rPr>
        <w:t>девиантного</w:t>
      </w:r>
      <w:proofErr w:type="spellEnd"/>
      <w:r>
        <w:rPr>
          <w:sz w:val="28"/>
          <w:szCs w:val="28"/>
        </w:rPr>
        <w:t xml:space="preserve"> поведения студентов, находящихся «группе риска», в организациях высшего и профессионального образования на территории Уссурийского городского округа Приморского края ведется системная работа, направленная на развитие системы наставничества. Главным специалистам комиссии совместно с ведущими специалистами комиссии при согласовании с управлением образования и молодежной политики администрации Уссурийского городского округа Приморского края. </w:t>
      </w:r>
    </w:p>
    <w:p w:rsidR="00B52DE3" w:rsidRDefault="00DE73E3">
      <w:pPr>
        <w:pStyle w:val="afff1"/>
        <w:spacing w:line="360" w:lineRule="auto"/>
        <w:ind w:left="0" w:firstLine="708"/>
        <w:jc w:val="both"/>
        <w:rPr>
          <w:sz w:val="28"/>
          <w:szCs w:val="28"/>
        </w:rPr>
      </w:pPr>
      <w:r>
        <w:rPr>
          <w:sz w:val="28"/>
          <w:szCs w:val="28"/>
        </w:rPr>
        <w:t xml:space="preserve">В рамках работы муниципального штаба «#МЫВМЕСТЕ» на территории Уссурийского городского округа Приморского края ведется активная работа по привлечению студентов, в том числе находящихся в «группе риска», к работам по оказанию адресной помощи семьям участников СВО и социально незащищенным группам населения. </w:t>
      </w:r>
    </w:p>
    <w:p w:rsidR="00B52DE3" w:rsidRDefault="00DE73E3">
      <w:pPr>
        <w:pStyle w:val="afff1"/>
        <w:spacing w:line="360" w:lineRule="auto"/>
        <w:ind w:left="0" w:firstLine="708"/>
        <w:jc w:val="both"/>
        <w:rPr>
          <w:sz w:val="28"/>
          <w:szCs w:val="28"/>
        </w:rPr>
      </w:pPr>
      <w:r>
        <w:rPr>
          <w:sz w:val="28"/>
          <w:szCs w:val="28"/>
        </w:rPr>
        <w:t xml:space="preserve">В целях улучшения координации работы органов и учреждений системы профилактики безнадзорности и правонарушений несовершеннолетних по итогам заседаний даны 126 поручений </w:t>
      </w:r>
      <w:r>
        <w:rPr>
          <w:sz w:val="28"/>
          <w:szCs w:val="28"/>
        </w:rPr>
        <w:lastRenderedPageBreak/>
        <w:t xml:space="preserve">руководителям субъектов системы профилактики, направленных на повышение эффективности и активизации деятельности. </w:t>
      </w:r>
    </w:p>
    <w:p w:rsidR="00B52DE3" w:rsidRDefault="00DE73E3">
      <w:pPr>
        <w:pStyle w:val="afff1"/>
        <w:spacing w:line="360" w:lineRule="auto"/>
        <w:ind w:left="0" w:firstLine="708"/>
        <w:jc w:val="both"/>
        <w:rPr>
          <w:sz w:val="28"/>
          <w:szCs w:val="28"/>
        </w:rPr>
      </w:pPr>
      <w:r>
        <w:rPr>
          <w:sz w:val="28"/>
          <w:szCs w:val="28"/>
        </w:rPr>
        <w:t>В целях освещения проблем детского и семейного неблагополучия, жестокого обращения с несовершеннолетними организовано проведение информационно-просветительской работы с населением с использованием средств массовой информации и возможностей интернет - ресурсов:</w:t>
      </w:r>
    </w:p>
    <w:p w:rsidR="00B52DE3" w:rsidRDefault="00DE73E3">
      <w:pPr>
        <w:pStyle w:val="afff1"/>
        <w:spacing w:line="360" w:lineRule="auto"/>
        <w:ind w:left="0" w:firstLine="708"/>
        <w:jc w:val="both"/>
        <w:rPr>
          <w:sz w:val="28"/>
          <w:szCs w:val="28"/>
        </w:rPr>
      </w:pPr>
      <w:r>
        <w:rPr>
          <w:sz w:val="28"/>
          <w:szCs w:val="28"/>
        </w:rPr>
        <w:t>н</w:t>
      </w:r>
      <w:r w:rsidR="00537978">
        <w:rPr>
          <w:sz w:val="28"/>
          <w:szCs w:val="28"/>
        </w:rPr>
        <w:t xml:space="preserve">а странице «КДН и ЗП УГО» в </w:t>
      </w:r>
      <w:proofErr w:type="spellStart"/>
      <w:r w:rsidR="00537978">
        <w:rPr>
          <w:sz w:val="28"/>
          <w:szCs w:val="28"/>
        </w:rPr>
        <w:t>Тел</w:t>
      </w:r>
      <w:r>
        <w:rPr>
          <w:sz w:val="28"/>
          <w:szCs w:val="28"/>
        </w:rPr>
        <w:t>еграм</w:t>
      </w:r>
      <w:proofErr w:type="spellEnd"/>
      <w:r>
        <w:rPr>
          <w:sz w:val="28"/>
          <w:szCs w:val="28"/>
        </w:rPr>
        <w:t xml:space="preserve"> канале размещены материалы об обеспечении безопасности детей в дни школьных каникул, в которых акцентировалось внимание на мерах по профилактике детского травматизма; </w:t>
      </w:r>
    </w:p>
    <w:p w:rsidR="00B52DE3" w:rsidRDefault="00DE73E3">
      <w:pPr>
        <w:pStyle w:val="afff1"/>
        <w:spacing w:line="360" w:lineRule="auto"/>
        <w:ind w:left="0" w:firstLine="708"/>
        <w:jc w:val="both"/>
        <w:rPr>
          <w:sz w:val="28"/>
          <w:szCs w:val="28"/>
        </w:rPr>
      </w:pPr>
      <w:r>
        <w:rPr>
          <w:sz w:val="28"/>
          <w:szCs w:val="28"/>
        </w:rPr>
        <w:t xml:space="preserve">размещены памятки о мерах безопасности детей на водных объектах и при обращении с огнем, посвящённые вопросам профилактики падения детей из окон, несчастных случаев с участием детей на дорогах и железнодорожных путях;  </w:t>
      </w:r>
    </w:p>
    <w:p w:rsidR="00B52DE3" w:rsidRDefault="00DE73E3">
      <w:pPr>
        <w:pStyle w:val="afff1"/>
        <w:spacing w:line="360" w:lineRule="auto"/>
        <w:ind w:left="0" w:firstLine="708"/>
        <w:jc w:val="both"/>
        <w:rPr>
          <w:sz w:val="28"/>
          <w:szCs w:val="28"/>
        </w:rPr>
      </w:pPr>
      <w:r>
        <w:rPr>
          <w:sz w:val="28"/>
          <w:szCs w:val="28"/>
        </w:rPr>
        <w:t xml:space="preserve">даны разъяснения требований закона и ответственности за их нарушение, освещены мероприятия, направленные на профилактику безнадзорности и правонарушений несовершеннолетних, защиту их прав, детскую безопасность, охрану психологического и физического здоровья, обеспечение спортивного и культурного досуга, предотвращение детских суицидов. </w:t>
      </w:r>
    </w:p>
    <w:p w:rsidR="00B52DE3" w:rsidRDefault="00DE73E3">
      <w:pPr>
        <w:pStyle w:val="afff1"/>
        <w:tabs>
          <w:tab w:val="left" w:pos="709"/>
        </w:tabs>
        <w:spacing w:line="360" w:lineRule="auto"/>
        <w:ind w:left="0"/>
        <w:jc w:val="both"/>
        <w:rPr>
          <w:sz w:val="28"/>
          <w:szCs w:val="28"/>
        </w:rPr>
      </w:pPr>
      <w:r>
        <w:rPr>
          <w:sz w:val="28"/>
          <w:szCs w:val="28"/>
        </w:rPr>
        <w:tab/>
        <w:t>Результатом осуществления органами и учреждениями системы профилактики безнадзорности и правонарушений несовершеннолетних Уссурийского городского округа Приморского края в 2025 году своей деятельности стало:</w:t>
      </w:r>
    </w:p>
    <w:p w:rsidR="00B52DE3" w:rsidRDefault="00DE73E3">
      <w:pPr>
        <w:pStyle w:val="34"/>
        <w:tabs>
          <w:tab w:val="left" w:pos="720"/>
        </w:tabs>
        <w:spacing w:after="0" w:line="360" w:lineRule="auto"/>
        <w:ind w:left="0"/>
        <w:jc w:val="both"/>
        <w:rPr>
          <w:sz w:val="28"/>
          <w:szCs w:val="28"/>
        </w:rPr>
      </w:pPr>
      <w:r>
        <w:rPr>
          <w:sz w:val="28"/>
          <w:szCs w:val="28"/>
        </w:rPr>
        <w:tab/>
        <w:t xml:space="preserve">снижение на 50 % (с 10 до 5) количества выявленных несовершеннолетних по ст. 6.1.1 </w:t>
      </w:r>
      <w:proofErr w:type="spellStart"/>
      <w:r>
        <w:rPr>
          <w:sz w:val="28"/>
          <w:szCs w:val="28"/>
        </w:rPr>
        <w:t>КоАП</w:t>
      </w:r>
      <w:proofErr w:type="spellEnd"/>
      <w:r>
        <w:rPr>
          <w:sz w:val="28"/>
          <w:szCs w:val="28"/>
        </w:rPr>
        <w:t xml:space="preserve"> РФ;</w:t>
      </w:r>
    </w:p>
    <w:p w:rsidR="00B52DE3" w:rsidRDefault="00DE73E3">
      <w:pPr>
        <w:pStyle w:val="34"/>
        <w:tabs>
          <w:tab w:val="left" w:pos="720"/>
        </w:tabs>
        <w:spacing w:after="0" w:line="360" w:lineRule="auto"/>
        <w:ind w:left="0"/>
        <w:jc w:val="both"/>
        <w:rPr>
          <w:sz w:val="28"/>
          <w:szCs w:val="28"/>
        </w:rPr>
      </w:pPr>
      <w:r>
        <w:rPr>
          <w:sz w:val="28"/>
          <w:szCs w:val="28"/>
        </w:rPr>
        <w:tab/>
        <w:t>снижение 12,5 % (с 40 до 35) фактов привлечения несовершеннолетних за распитие алкогольной продукции;</w:t>
      </w:r>
    </w:p>
    <w:p w:rsidR="00B52DE3" w:rsidRDefault="00DE73E3">
      <w:pPr>
        <w:pStyle w:val="34"/>
        <w:tabs>
          <w:tab w:val="left" w:pos="720"/>
        </w:tabs>
        <w:spacing w:after="0" w:line="360" w:lineRule="auto"/>
        <w:ind w:left="0"/>
        <w:jc w:val="both"/>
        <w:rPr>
          <w:sz w:val="28"/>
          <w:szCs w:val="28"/>
        </w:rPr>
      </w:pPr>
      <w:r>
        <w:rPr>
          <w:sz w:val="28"/>
          <w:szCs w:val="28"/>
        </w:rPr>
        <w:lastRenderedPageBreak/>
        <w:tab/>
        <w:t>снижение на 33,3 % (с 6 до 4) фактов привлечения несовершеннолетних за мелкое хулиганство.</w:t>
      </w:r>
    </w:p>
    <w:p w:rsidR="00B52DE3" w:rsidRDefault="00DE73E3">
      <w:pPr>
        <w:pStyle w:val="ConsPlusNormal0"/>
        <w:tabs>
          <w:tab w:val="left" w:pos="709"/>
          <w:tab w:val="left" w:pos="851"/>
        </w:tabs>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Сохранились определенные положительные тенденции по ряду показателей: не допущено возникновение угрозы жизни и здоровью детей. </w:t>
      </w:r>
    </w:p>
    <w:p w:rsidR="00B52DE3" w:rsidRDefault="00DE73E3">
      <w:pPr>
        <w:pStyle w:val="ConsPlusNormal0"/>
        <w:tabs>
          <w:tab w:val="left" w:pos="709"/>
          <w:tab w:val="left" w:pos="851"/>
        </w:tabs>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Общее количество случаев </w:t>
      </w:r>
      <w:proofErr w:type="spellStart"/>
      <w:r>
        <w:rPr>
          <w:rFonts w:ascii="Times New Roman" w:eastAsia="Times New Roman" w:hAnsi="Times New Roman" w:cs="Times New Roman"/>
          <w:sz w:val="28"/>
          <w:szCs w:val="28"/>
        </w:rPr>
        <w:t>травмирования</w:t>
      </w:r>
      <w:proofErr w:type="spellEnd"/>
      <w:r>
        <w:rPr>
          <w:rFonts w:ascii="Times New Roman" w:eastAsia="Times New Roman" w:hAnsi="Times New Roman" w:cs="Times New Roman"/>
          <w:sz w:val="28"/>
          <w:szCs w:val="28"/>
        </w:rPr>
        <w:t xml:space="preserve"> несовершеннолетних имеет тенденцию к снижению количества травм на 70 %, полученных детьми в результате падения с деревьев, конфликтов и драк между сверстниками, катанием на велосипедах, нахождение и игры на территории стройки, либо в заброшенных аварийных зданиях.</w:t>
      </w:r>
    </w:p>
    <w:p w:rsidR="00B52DE3" w:rsidRDefault="00DE73E3">
      <w:pPr>
        <w:pStyle w:val="ConsPlusNormal0"/>
        <w:tabs>
          <w:tab w:val="left" w:pos="709"/>
          <w:tab w:val="left" w:pos="851"/>
        </w:tabs>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Отмечается увеличение на 40 % количества бытовых травм, полученных детьми в результате ненадлежащего присмотра и ухода, бесконтрольности и беспечности со стороны родителей и других  взрослых членов семьи. </w:t>
      </w:r>
    </w:p>
    <w:p w:rsidR="00B52DE3" w:rsidRDefault="00DE73E3">
      <w:pPr>
        <w:pStyle w:val="ConsPlusNormal0"/>
        <w:tabs>
          <w:tab w:val="left" w:pos="709"/>
          <w:tab w:val="left" w:pos="851"/>
        </w:tabs>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На 12 % снизился показатель </w:t>
      </w:r>
      <w:proofErr w:type="spellStart"/>
      <w:r>
        <w:rPr>
          <w:rFonts w:ascii="Times New Roman" w:eastAsia="Times New Roman" w:hAnsi="Times New Roman" w:cs="Times New Roman"/>
          <w:sz w:val="28"/>
          <w:szCs w:val="28"/>
        </w:rPr>
        <w:t>дорожно</w:t>
      </w:r>
      <w:proofErr w:type="spellEnd"/>
      <w:r>
        <w:rPr>
          <w:rFonts w:ascii="Times New Roman" w:eastAsia="Times New Roman" w:hAnsi="Times New Roman" w:cs="Times New Roman"/>
          <w:sz w:val="28"/>
          <w:szCs w:val="28"/>
        </w:rPr>
        <w:t xml:space="preserve"> - транспортных происшествий с участием детей, а также наблюдается уменьшения количества несовершеннолетних, получившие травмы в результате преступных посягательств со стороны других лиц.</w:t>
      </w:r>
    </w:p>
    <w:p w:rsidR="00B52DE3" w:rsidRDefault="00DE73E3">
      <w:pPr>
        <w:pStyle w:val="ConsPlusNormal0"/>
        <w:tabs>
          <w:tab w:val="left" w:pos="709"/>
          <w:tab w:val="left" w:pos="851"/>
        </w:tabs>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Учитывая вышеизложенное, приоритетными направлениями деятельности органов и учреждений системы профилактики безнадзорности и правонарушений несовершеннолетних Уссурийского городского округа Приморского края на 2025 год являются:</w:t>
      </w:r>
    </w:p>
    <w:p w:rsidR="00B52DE3" w:rsidRDefault="00DE73E3">
      <w:pPr>
        <w:pStyle w:val="34"/>
        <w:tabs>
          <w:tab w:val="left" w:pos="720"/>
        </w:tabs>
        <w:spacing w:after="0" w:line="360" w:lineRule="auto"/>
        <w:ind w:left="0"/>
        <w:jc w:val="both"/>
        <w:rPr>
          <w:sz w:val="28"/>
          <w:szCs w:val="28"/>
        </w:rPr>
      </w:pPr>
      <w:r>
        <w:rPr>
          <w:sz w:val="28"/>
          <w:szCs w:val="28"/>
        </w:rPr>
        <w:tab/>
        <w:t>повышение эффективности профилактики повторной преступности среди несовершеннолетних, правонарушений, общественно опасных деяний несовершеннолетних, установление причин и условий, способствующих их совершению;</w:t>
      </w:r>
    </w:p>
    <w:p w:rsidR="00B52DE3" w:rsidRDefault="00DE73E3">
      <w:pPr>
        <w:pStyle w:val="34"/>
        <w:tabs>
          <w:tab w:val="left" w:pos="720"/>
        </w:tabs>
        <w:spacing w:after="0" w:line="360" w:lineRule="auto"/>
        <w:ind w:left="0"/>
        <w:jc w:val="both"/>
        <w:rPr>
          <w:sz w:val="28"/>
          <w:szCs w:val="28"/>
        </w:rPr>
      </w:pPr>
      <w:r>
        <w:rPr>
          <w:sz w:val="28"/>
          <w:szCs w:val="28"/>
        </w:rPr>
        <w:tab/>
        <w:t>профилактика наркомании среди несовершеннолетних;</w:t>
      </w:r>
    </w:p>
    <w:p w:rsidR="00B52DE3" w:rsidRDefault="00DE73E3">
      <w:pPr>
        <w:pStyle w:val="34"/>
        <w:widowControl w:val="0"/>
        <w:tabs>
          <w:tab w:val="left" w:pos="720"/>
        </w:tabs>
        <w:spacing w:after="0" w:line="360" w:lineRule="auto"/>
        <w:ind w:left="0"/>
        <w:jc w:val="both"/>
        <w:rPr>
          <w:sz w:val="28"/>
          <w:szCs w:val="28"/>
        </w:rPr>
      </w:pPr>
      <w:r>
        <w:rPr>
          <w:sz w:val="28"/>
          <w:szCs w:val="28"/>
        </w:rPr>
        <w:tab/>
        <w:t>выявление и пресечение случаев вовлечения несовершеннолетних в совершение преступлений, других противоправных и (или) антиобщественных действий.</w:t>
      </w:r>
    </w:p>
    <w:p w:rsidR="00B52DE3" w:rsidRDefault="00B52DE3">
      <w:pPr>
        <w:pStyle w:val="34"/>
        <w:widowControl w:val="0"/>
        <w:tabs>
          <w:tab w:val="left" w:pos="720"/>
        </w:tabs>
        <w:spacing w:after="0" w:line="360" w:lineRule="auto"/>
        <w:ind w:left="0"/>
        <w:jc w:val="both"/>
        <w:rPr>
          <w:sz w:val="28"/>
          <w:szCs w:val="28"/>
        </w:rPr>
      </w:pPr>
    </w:p>
    <w:p w:rsidR="00B52DE3" w:rsidRDefault="00DE73E3">
      <w:pPr>
        <w:pStyle w:val="2f6"/>
        <w:keepNext w:val="0"/>
        <w:spacing w:before="0"/>
      </w:pPr>
      <w:bookmarkStart w:id="162" w:name="_Toc148"/>
      <w:r>
        <w:t>Работа управления по опеке и попечительству</w:t>
      </w:r>
      <w:bookmarkEnd w:id="162"/>
    </w:p>
    <w:p w:rsidR="00B52DE3" w:rsidRDefault="00B52DE3">
      <w:pPr>
        <w:pStyle w:val="afff1"/>
        <w:spacing w:line="360" w:lineRule="auto"/>
        <w:jc w:val="center"/>
        <w:rPr>
          <w:sz w:val="28"/>
          <w:szCs w:val="28"/>
        </w:rPr>
      </w:pPr>
    </w:p>
    <w:p w:rsidR="00B52DE3" w:rsidRDefault="00DE73E3">
      <w:pPr>
        <w:pStyle w:val="afff1"/>
        <w:tabs>
          <w:tab w:val="left" w:pos="735"/>
        </w:tabs>
        <w:spacing w:line="360" w:lineRule="auto"/>
        <w:ind w:left="0"/>
        <w:jc w:val="both"/>
        <w:rPr>
          <w:sz w:val="28"/>
          <w:szCs w:val="28"/>
        </w:rPr>
      </w:pPr>
      <w:r>
        <w:rPr>
          <w:sz w:val="28"/>
          <w:szCs w:val="28"/>
        </w:rPr>
        <w:tab/>
        <w:t xml:space="preserve">Управление по опеке и попечительству администрации Уссурийского городского округа Приморского края осуществляет свою деятельность в соответствии с Федеральным законом от 24 апреля 2008 года № 48-ФЗ                     «Об опеке и попечительстве», Федеральным законом от 29 декабря 1995 года № 223-ФЗ «Семейный кодекс Российской Федерации», Федеральным законом от 30 ноября 1994 года № 51-ФЗ «Гражданский кодекс Российской Федерации», Федеральным законом от 24 июля 1998 года № 124-ФЗ                     «Об основных гарантиях прав ребенка в Российской Федерации», Федеральным законом от 21 декабря 1996 года № 159-ФЗ «О дополнительных гарантиях по социальной защите детей-сирот и детей, оставшихся без попечения родителей», Федеральным законом  от 16 апреля 2001 года № 44-ФЗ «О государственном банке данных о детях, оставшихся без попечения родителей», Федеральным законом от 24 июня 1999 года                 № 120-ФЗ «Об основах системы профилактики безнадзорности и правонарушений несовершеннолетних», Федеральным законом от 29 декабря 2012 года № 273-ФЗ «Об образовании в Российской Федерации», Законом Приморского края от 25 декабря 2007 года № 185-КЗ «Об организации и осуществлении деятельности по опеке и попечительству в Приморском крае», Законом Приморского края от 30 сентября 2019 года № 572-КЗ                         «О наделении органов местного самоуправления муниципальных районов, муниципальных и городских округов Приморского края отдельными государственными полномочиями в сфере опеки и попечительства, социальной поддержки детей, оставшихся без попечения родителей, и лиц, принявших на воспитание в семью детей, оставшихся без попечения родителей», иными законами и нормативными актами Президента Российской Федерации и Правительства Российской Федерации, </w:t>
      </w:r>
      <w:r>
        <w:rPr>
          <w:sz w:val="28"/>
          <w:szCs w:val="28"/>
        </w:rPr>
        <w:lastRenderedPageBreak/>
        <w:t>Губернатора и Законодательного собрания Приморского края, главы Уссурийского городского округа Приморского края, Думы Уссурийского городского округа.</w:t>
      </w:r>
    </w:p>
    <w:p w:rsidR="00B52DE3" w:rsidRDefault="00DE73E3">
      <w:pPr>
        <w:pStyle w:val="afff1"/>
        <w:spacing w:line="360" w:lineRule="auto"/>
        <w:ind w:left="0" w:firstLine="709"/>
        <w:jc w:val="both"/>
        <w:rPr>
          <w:sz w:val="28"/>
          <w:szCs w:val="28"/>
        </w:rPr>
      </w:pPr>
      <w:r>
        <w:rPr>
          <w:sz w:val="28"/>
          <w:szCs w:val="28"/>
        </w:rPr>
        <w:t>В 2025 году приоритетными задачами в работе управления по опеке и попечительству администрации Уссурийского городского округа Приморского края были определены:</w:t>
      </w:r>
    </w:p>
    <w:p w:rsidR="00B52DE3" w:rsidRDefault="00DE73E3">
      <w:pPr>
        <w:pStyle w:val="afff1"/>
        <w:spacing w:line="360" w:lineRule="auto"/>
        <w:ind w:left="0" w:firstLine="709"/>
        <w:jc w:val="both"/>
        <w:rPr>
          <w:sz w:val="28"/>
          <w:szCs w:val="28"/>
        </w:rPr>
      </w:pPr>
      <w:r>
        <w:rPr>
          <w:sz w:val="28"/>
          <w:szCs w:val="28"/>
        </w:rPr>
        <w:t>1. Увеличение числа заявлений от лиц, из числа детей-сирот и детей, оставшихся без попечения родителей, претендующих на социальную выплату на приобретение жилого помещения в собственность, удостоверяемую сертификатом.</w:t>
      </w:r>
    </w:p>
    <w:p w:rsidR="00B52DE3" w:rsidRDefault="00DE73E3">
      <w:pPr>
        <w:pStyle w:val="afff1"/>
        <w:spacing w:line="360" w:lineRule="auto"/>
        <w:ind w:left="0" w:firstLine="709"/>
        <w:jc w:val="both"/>
        <w:rPr>
          <w:sz w:val="28"/>
          <w:szCs w:val="28"/>
        </w:rPr>
      </w:pPr>
      <w:r>
        <w:rPr>
          <w:sz w:val="28"/>
          <w:szCs w:val="28"/>
        </w:rPr>
        <w:t xml:space="preserve">2. Увеличение числа детей, переданных на семейные формы воспитания из учреждений для детей-сирот и детей, оставшихся без попечения родителей.  </w:t>
      </w:r>
    </w:p>
    <w:p w:rsidR="00B52DE3" w:rsidRDefault="00DE73E3">
      <w:pPr>
        <w:pStyle w:val="afff1"/>
        <w:spacing w:line="360" w:lineRule="auto"/>
        <w:ind w:left="0" w:firstLine="709"/>
        <w:jc w:val="both"/>
        <w:rPr>
          <w:sz w:val="28"/>
          <w:szCs w:val="28"/>
        </w:rPr>
      </w:pPr>
      <w:r>
        <w:rPr>
          <w:sz w:val="28"/>
          <w:szCs w:val="28"/>
        </w:rPr>
        <w:t xml:space="preserve">3. Уменьшение числа законных представителей несовершеннолетних, лишенных/ограниченных в родительских правах, путем повышения качества индивидуально-профилактической работы с семьей. Организация работы с родителями ранее лишенными/ограниченными в родительских правах с целью восстановления их в родительских правах, сохранение кровных семей. </w:t>
      </w:r>
    </w:p>
    <w:p w:rsidR="00B52DE3" w:rsidRDefault="00DE73E3">
      <w:pPr>
        <w:pStyle w:val="afff1"/>
        <w:spacing w:line="360" w:lineRule="auto"/>
        <w:ind w:left="0" w:firstLine="709"/>
        <w:jc w:val="both"/>
        <w:rPr>
          <w:sz w:val="28"/>
          <w:szCs w:val="28"/>
        </w:rPr>
      </w:pPr>
      <w:r>
        <w:rPr>
          <w:sz w:val="28"/>
          <w:szCs w:val="28"/>
        </w:rPr>
        <w:t>Основными направлениями деятельности управления по опеке и попечительству администрации Уссурийского городского округа Приморского края являются:</w:t>
      </w:r>
    </w:p>
    <w:p w:rsidR="00B52DE3" w:rsidRDefault="00DE73E3">
      <w:pPr>
        <w:pStyle w:val="afff1"/>
        <w:spacing w:line="360" w:lineRule="auto"/>
        <w:ind w:left="0" w:firstLine="709"/>
        <w:jc w:val="both"/>
        <w:rPr>
          <w:sz w:val="28"/>
          <w:szCs w:val="28"/>
        </w:rPr>
      </w:pPr>
      <w:r>
        <w:rPr>
          <w:sz w:val="28"/>
          <w:szCs w:val="28"/>
        </w:rPr>
        <w:t>реализация единой государственной политики в сфере защиты прав законных интересов несовершеннолетних, в том числе детей-сирот и детей, оставшихся без попечения родителей, детей, нуждающихся в помощи государства, а также лиц из числа детей-сирот и детей, оставшихся без попечения родителей, на территории Уссурийского городского округа Приморского края;</w:t>
      </w:r>
    </w:p>
    <w:p w:rsidR="00B52DE3" w:rsidRDefault="00DE73E3">
      <w:pPr>
        <w:pStyle w:val="afff1"/>
        <w:spacing w:line="360" w:lineRule="auto"/>
        <w:ind w:left="0" w:firstLine="709"/>
        <w:jc w:val="both"/>
        <w:rPr>
          <w:sz w:val="28"/>
          <w:szCs w:val="28"/>
        </w:rPr>
      </w:pPr>
      <w:r>
        <w:rPr>
          <w:sz w:val="28"/>
          <w:szCs w:val="28"/>
        </w:rPr>
        <w:t xml:space="preserve">обеспечение своевременного выявления несовершеннолетних, нуждающихся в установлении над ними опеки (попечительства), и их </w:t>
      </w:r>
      <w:r>
        <w:rPr>
          <w:sz w:val="28"/>
          <w:szCs w:val="28"/>
        </w:rPr>
        <w:lastRenderedPageBreak/>
        <w:t>устройства;</w:t>
      </w:r>
    </w:p>
    <w:p w:rsidR="00B52DE3" w:rsidRDefault="00DE73E3">
      <w:pPr>
        <w:pStyle w:val="afff1"/>
        <w:spacing w:line="360" w:lineRule="auto"/>
        <w:ind w:left="0" w:firstLine="709"/>
        <w:jc w:val="both"/>
        <w:rPr>
          <w:sz w:val="28"/>
          <w:szCs w:val="28"/>
        </w:rPr>
      </w:pPr>
      <w:r>
        <w:rPr>
          <w:sz w:val="28"/>
          <w:szCs w:val="28"/>
        </w:rPr>
        <w:t>защита личных и имущественных прав и законных интересов несовершеннолетних детей, в том числе детей-сирот и детей, оставшихся без попечения родителей, детей, нуждающихся в помощи государства;</w:t>
      </w:r>
    </w:p>
    <w:p w:rsidR="00B52DE3" w:rsidRDefault="00DE73E3">
      <w:pPr>
        <w:pStyle w:val="afff1"/>
        <w:spacing w:line="360" w:lineRule="auto"/>
        <w:ind w:left="0" w:firstLine="709"/>
        <w:jc w:val="both"/>
        <w:rPr>
          <w:sz w:val="28"/>
          <w:szCs w:val="28"/>
        </w:rPr>
      </w:pPr>
      <w:r>
        <w:rPr>
          <w:sz w:val="28"/>
          <w:szCs w:val="28"/>
        </w:rPr>
        <w:t>надзор за деятельностью опекунов и попечителей;</w:t>
      </w:r>
    </w:p>
    <w:p w:rsidR="00B52DE3" w:rsidRDefault="00DE73E3">
      <w:pPr>
        <w:pStyle w:val="afff1"/>
        <w:spacing w:line="360" w:lineRule="auto"/>
        <w:ind w:left="0" w:firstLine="709"/>
        <w:jc w:val="both"/>
        <w:rPr>
          <w:sz w:val="28"/>
          <w:szCs w:val="28"/>
        </w:rPr>
      </w:pPr>
      <w:r>
        <w:rPr>
          <w:sz w:val="28"/>
          <w:szCs w:val="28"/>
        </w:rPr>
        <w:t>обеспечение приоритета семейных форм воспитания детей-сирот и детей, оставшихся без попечения родителей.</w:t>
      </w:r>
    </w:p>
    <w:p w:rsidR="00B52DE3" w:rsidRDefault="00DE73E3">
      <w:pPr>
        <w:pStyle w:val="afff1"/>
        <w:spacing w:line="360" w:lineRule="auto"/>
        <w:ind w:left="0" w:firstLine="709"/>
        <w:jc w:val="both"/>
        <w:rPr>
          <w:sz w:val="28"/>
          <w:szCs w:val="28"/>
        </w:rPr>
      </w:pPr>
      <w:r>
        <w:rPr>
          <w:sz w:val="28"/>
          <w:szCs w:val="28"/>
        </w:rPr>
        <w:t xml:space="preserve">В ходе реализации полномочий по опеке и попечительству управлением по опеке и попечительству администрации Уссурийского городского округа Приморского края по итогам 2025 года была проведена следующая работа. </w:t>
      </w:r>
    </w:p>
    <w:p w:rsidR="00B52DE3" w:rsidRDefault="00DE73E3">
      <w:pPr>
        <w:pStyle w:val="afff1"/>
        <w:spacing w:line="360" w:lineRule="auto"/>
        <w:ind w:left="0" w:firstLine="709"/>
        <w:jc w:val="both"/>
        <w:rPr>
          <w:sz w:val="28"/>
          <w:szCs w:val="28"/>
        </w:rPr>
      </w:pPr>
      <w:r>
        <w:rPr>
          <w:sz w:val="28"/>
          <w:szCs w:val="28"/>
        </w:rPr>
        <w:t xml:space="preserve">1. Выявление детей-сирот и детей, оставшихся без попечения родителей. </w:t>
      </w:r>
    </w:p>
    <w:p w:rsidR="00B52DE3" w:rsidRDefault="00DE73E3">
      <w:pPr>
        <w:pStyle w:val="afff1"/>
        <w:spacing w:line="360" w:lineRule="auto"/>
        <w:ind w:left="0" w:firstLine="709"/>
        <w:jc w:val="both"/>
        <w:rPr>
          <w:sz w:val="28"/>
          <w:szCs w:val="28"/>
        </w:rPr>
      </w:pPr>
      <w:r>
        <w:rPr>
          <w:sz w:val="28"/>
          <w:szCs w:val="28"/>
        </w:rPr>
        <w:t xml:space="preserve">С целью реализации полномочий по выявлению детей-сирот и детей, оставшихся без попечения родителей, органом опеки налажено взаимодействие с органами и учреждениями системы профилактики безнадзорности, беспризорности и правонарушений несовершеннолетних, учреждениями и организациями для несовершеннолетних, расположенных на территории Уссурийского городского округа Приморского края.                               В отчетном периоде выявлено 64 ребенка, утративших родительское попечение. (АППГ – 33). </w:t>
      </w:r>
    </w:p>
    <w:p w:rsidR="00B52DE3" w:rsidRDefault="00DE73E3">
      <w:pPr>
        <w:pStyle w:val="afff1"/>
        <w:spacing w:line="360" w:lineRule="auto"/>
        <w:ind w:left="0" w:firstLine="709"/>
        <w:jc w:val="both"/>
        <w:rPr>
          <w:sz w:val="28"/>
          <w:szCs w:val="28"/>
        </w:rPr>
      </w:pPr>
      <w:r>
        <w:rPr>
          <w:sz w:val="28"/>
          <w:szCs w:val="28"/>
        </w:rPr>
        <w:t xml:space="preserve">2. Устройство детей-сирот и детей, оставшихся без попечения родителей. </w:t>
      </w:r>
    </w:p>
    <w:p w:rsidR="00B52DE3" w:rsidRDefault="00DE73E3">
      <w:pPr>
        <w:pStyle w:val="afff1"/>
        <w:spacing w:line="360" w:lineRule="auto"/>
        <w:ind w:left="0" w:firstLine="709"/>
        <w:jc w:val="both"/>
        <w:rPr>
          <w:sz w:val="28"/>
          <w:szCs w:val="28"/>
        </w:rPr>
      </w:pPr>
      <w:r>
        <w:rPr>
          <w:sz w:val="28"/>
          <w:szCs w:val="28"/>
        </w:rPr>
        <w:t xml:space="preserve">С целью устройства детей-сирот и детей, оставшихся без попечения родителей, органом опеки ведется работа с гражданами, желающими принять в свою семью детей на воспитание, в средствах массовой информации регулярно освещаются сведения о детях-сиротах, и детях, оставшихся без попечения родителей. Поставлено на учет кандидатов в опекуны и усыновители – 53 человека (32 семьи), всего состоит человек 30 кандидатов </w:t>
      </w:r>
      <w:r>
        <w:rPr>
          <w:sz w:val="28"/>
          <w:szCs w:val="28"/>
        </w:rPr>
        <w:lastRenderedPageBreak/>
        <w:t xml:space="preserve">(15 семей). В 2024 году 68 человек (51 семья), всего состояло 46 кандидатов (40 семей). </w:t>
      </w:r>
    </w:p>
    <w:p w:rsidR="00B52DE3" w:rsidRDefault="00DE73E3">
      <w:pPr>
        <w:pStyle w:val="afff1"/>
        <w:spacing w:line="360" w:lineRule="auto"/>
        <w:ind w:left="0" w:firstLine="709"/>
        <w:jc w:val="both"/>
        <w:rPr>
          <w:sz w:val="28"/>
          <w:szCs w:val="28"/>
        </w:rPr>
      </w:pPr>
      <w:r>
        <w:rPr>
          <w:sz w:val="28"/>
          <w:szCs w:val="28"/>
        </w:rPr>
        <w:t>3. Сопровождение детей-сирот и детей, оставшихся без попечения родителей, состоящих на учете в отделе.</w:t>
      </w:r>
    </w:p>
    <w:p w:rsidR="00B52DE3" w:rsidRDefault="00DE73E3">
      <w:pPr>
        <w:pStyle w:val="afff1"/>
        <w:spacing w:line="360" w:lineRule="auto"/>
        <w:ind w:left="0" w:firstLine="709"/>
        <w:jc w:val="both"/>
        <w:rPr>
          <w:sz w:val="28"/>
          <w:szCs w:val="28"/>
        </w:rPr>
      </w:pPr>
      <w:r>
        <w:rPr>
          <w:sz w:val="28"/>
          <w:szCs w:val="28"/>
        </w:rPr>
        <w:t>Всего на учете в отделе по итогам 2025 состоит 601 (АППГ – 616), из них:</w:t>
      </w:r>
    </w:p>
    <w:p w:rsidR="00B52DE3" w:rsidRDefault="00DE73E3">
      <w:pPr>
        <w:pStyle w:val="afff1"/>
        <w:spacing w:line="360" w:lineRule="auto"/>
        <w:ind w:left="0" w:firstLine="709"/>
        <w:jc w:val="both"/>
        <w:rPr>
          <w:sz w:val="28"/>
          <w:szCs w:val="28"/>
        </w:rPr>
      </w:pPr>
      <w:r>
        <w:rPr>
          <w:sz w:val="28"/>
          <w:szCs w:val="28"/>
        </w:rPr>
        <w:t>217 - усыновленные (АППГ – 219);</w:t>
      </w:r>
    </w:p>
    <w:p w:rsidR="00B52DE3" w:rsidRDefault="00DE73E3">
      <w:pPr>
        <w:pStyle w:val="afff1"/>
        <w:spacing w:line="360" w:lineRule="auto"/>
        <w:ind w:left="0" w:firstLine="709"/>
        <w:jc w:val="both"/>
        <w:rPr>
          <w:sz w:val="28"/>
          <w:szCs w:val="28"/>
        </w:rPr>
      </w:pPr>
      <w:r>
        <w:rPr>
          <w:sz w:val="28"/>
          <w:szCs w:val="28"/>
        </w:rPr>
        <w:t>227 - под опекой (попечительством) (АППГ – 236);</w:t>
      </w:r>
    </w:p>
    <w:p w:rsidR="00B52DE3" w:rsidRDefault="00DE73E3">
      <w:pPr>
        <w:pStyle w:val="afff1"/>
        <w:spacing w:line="360" w:lineRule="auto"/>
        <w:ind w:left="0" w:firstLine="709"/>
        <w:jc w:val="both"/>
        <w:rPr>
          <w:sz w:val="28"/>
          <w:szCs w:val="28"/>
        </w:rPr>
      </w:pPr>
      <w:r>
        <w:rPr>
          <w:sz w:val="28"/>
          <w:szCs w:val="28"/>
        </w:rPr>
        <w:t>97 - в приемных семьях (АППГ – 101);</w:t>
      </w:r>
    </w:p>
    <w:p w:rsidR="00B52DE3" w:rsidRDefault="00DE73E3">
      <w:pPr>
        <w:pStyle w:val="afff1"/>
        <w:spacing w:line="360" w:lineRule="auto"/>
        <w:ind w:left="0" w:firstLine="709"/>
        <w:jc w:val="both"/>
        <w:rPr>
          <w:sz w:val="28"/>
          <w:szCs w:val="28"/>
        </w:rPr>
      </w:pPr>
      <w:r>
        <w:rPr>
          <w:sz w:val="28"/>
          <w:szCs w:val="28"/>
        </w:rPr>
        <w:t>60 - в государственных учреждениях (АППГ – 65).</w:t>
      </w:r>
    </w:p>
    <w:p w:rsidR="00B52DE3" w:rsidRDefault="00DE73E3">
      <w:pPr>
        <w:pStyle w:val="afff1"/>
        <w:spacing w:line="360" w:lineRule="auto"/>
        <w:ind w:left="0" w:firstLine="709"/>
        <w:jc w:val="both"/>
        <w:rPr>
          <w:sz w:val="28"/>
          <w:szCs w:val="28"/>
        </w:rPr>
      </w:pPr>
      <w:r>
        <w:rPr>
          <w:sz w:val="28"/>
          <w:szCs w:val="28"/>
        </w:rPr>
        <w:t xml:space="preserve">Всего передано детей на семейные формы воспитания – 46 детей (в 2024 году – 52 детей). </w:t>
      </w:r>
    </w:p>
    <w:p w:rsidR="00B52DE3" w:rsidRDefault="00DE73E3">
      <w:pPr>
        <w:pStyle w:val="afff1"/>
        <w:spacing w:line="360" w:lineRule="auto"/>
        <w:ind w:left="0" w:firstLine="709"/>
        <w:jc w:val="both"/>
        <w:rPr>
          <w:sz w:val="28"/>
          <w:szCs w:val="28"/>
        </w:rPr>
      </w:pPr>
      <w:r>
        <w:rPr>
          <w:sz w:val="28"/>
          <w:szCs w:val="28"/>
        </w:rPr>
        <w:t>На каждого ребенка ведется личное дело по форме, утвержденной Постановлением Правительства от 18 мая 2009 года № 423 «Об отдельных вопросах осуществления опеки и попечительства в отношении несовершеннолетних граждан», а также принимаются меры по защите личных, имущественных и неимущественных прав несовершеннолетних:</w:t>
      </w:r>
    </w:p>
    <w:p w:rsidR="00B52DE3" w:rsidRDefault="00DE73E3">
      <w:pPr>
        <w:pStyle w:val="afff1"/>
        <w:spacing w:line="360" w:lineRule="auto"/>
        <w:ind w:left="0" w:firstLine="709"/>
        <w:jc w:val="both"/>
        <w:rPr>
          <w:sz w:val="28"/>
          <w:szCs w:val="28"/>
        </w:rPr>
      </w:pPr>
      <w:r>
        <w:rPr>
          <w:sz w:val="28"/>
          <w:szCs w:val="28"/>
        </w:rPr>
        <w:t>проводятся проверки условий жизни несовершеннолетних, исполнения законными представителями требований по содержанию, воспитанию и обучению детей не реже двух раз в год;</w:t>
      </w:r>
    </w:p>
    <w:p w:rsidR="00B52DE3" w:rsidRDefault="00DE73E3">
      <w:pPr>
        <w:pStyle w:val="afff1"/>
        <w:spacing w:line="360" w:lineRule="auto"/>
        <w:ind w:left="0" w:firstLine="709"/>
        <w:jc w:val="both"/>
        <w:rPr>
          <w:sz w:val="28"/>
          <w:szCs w:val="28"/>
        </w:rPr>
      </w:pPr>
      <w:r>
        <w:rPr>
          <w:sz w:val="28"/>
          <w:szCs w:val="28"/>
        </w:rPr>
        <w:t>осуществляется контроль за сохранением опекунами имущества детей не реже одного раза в год;</w:t>
      </w:r>
    </w:p>
    <w:p w:rsidR="00B52DE3" w:rsidRDefault="00DE73E3">
      <w:pPr>
        <w:pStyle w:val="afff1"/>
        <w:spacing w:line="360" w:lineRule="auto"/>
        <w:ind w:left="0" w:firstLine="709"/>
        <w:jc w:val="both"/>
        <w:rPr>
          <w:sz w:val="28"/>
          <w:szCs w:val="28"/>
        </w:rPr>
      </w:pPr>
      <w:r>
        <w:rPr>
          <w:sz w:val="28"/>
          <w:szCs w:val="28"/>
        </w:rPr>
        <w:t xml:space="preserve">оказывается содействие в оформлении документов, постановки на очередь на получение жилья, и в других вопросах. </w:t>
      </w:r>
    </w:p>
    <w:p w:rsidR="00B52DE3" w:rsidRDefault="00DE73E3">
      <w:pPr>
        <w:pStyle w:val="afff1"/>
        <w:spacing w:line="360" w:lineRule="auto"/>
        <w:ind w:left="0" w:firstLine="709"/>
        <w:jc w:val="both"/>
        <w:rPr>
          <w:sz w:val="28"/>
          <w:szCs w:val="28"/>
        </w:rPr>
      </w:pPr>
      <w:r>
        <w:rPr>
          <w:sz w:val="28"/>
          <w:szCs w:val="28"/>
        </w:rPr>
        <w:t>4. В соответствии с Семейным и Гражданским кодексами Российской Федерации органами опеки и попечительства:</w:t>
      </w:r>
    </w:p>
    <w:p w:rsidR="00B52DE3" w:rsidRDefault="00DE73E3">
      <w:pPr>
        <w:pStyle w:val="afff1"/>
        <w:spacing w:line="360" w:lineRule="auto"/>
        <w:ind w:left="0" w:firstLine="709"/>
        <w:jc w:val="both"/>
        <w:rPr>
          <w:sz w:val="28"/>
          <w:szCs w:val="28"/>
        </w:rPr>
      </w:pPr>
      <w:r>
        <w:rPr>
          <w:sz w:val="28"/>
          <w:szCs w:val="28"/>
        </w:rPr>
        <w:t>выдано 1133 разрешения на совершение сделок с имуществом несовершеннолетних (АППГ – 1065);</w:t>
      </w:r>
    </w:p>
    <w:p w:rsidR="00B52DE3" w:rsidRDefault="00DE73E3">
      <w:pPr>
        <w:pStyle w:val="afff1"/>
        <w:spacing w:line="360" w:lineRule="auto"/>
        <w:ind w:left="0" w:firstLine="709"/>
        <w:jc w:val="both"/>
        <w:rPr>
          <w:sz w:val="28"/>
          <w:szCs w:val="28"/>
        </w:rPr>
      </w:pPr>
      <w:r>
        <w:rPr>
          <w:sz w:val="28"/>
          <w:szCs w:val="28"/>
        </w:rPr>
        <w:t xml:space="preserve">выдано 20 разрешений на смену фамилии, имени несовершеннолетних </w:t>
      </w:r>
      <w:r>
        <w:rPr>
          <w:sz w:val="28"/>
          <w:szCs w:val="28"/>
        </w:rPr>
        <w:lastRenderedPageBreak/>
        <w:t xml:space="preserve">детей (АППГ – 7); </w:t>
      </w:r>
    </w:p>
    <w:p w:rsidR="00B52DE3" w:rsidRDefault="00DE73E3">
      <w:pPr>
        <w:pStyle w:val="afff1"/>
        <w:spacing w:line="360" w:lineRule="auto"/>
        <w:ind w:left="0" w:firstLine="709"/>
        <w:jc w:val="both"/>
        <w:rPr>
          <w:sz w:val="28"/>
          <w:szCs w:val="28"/>
        </w:rPr>
      </w:pPr>
      <w:r>
        <w:rPr>
          <w:sz w:val="28"/>
          <w:szCs w:val="28"/>
        </w:rPr>
        <w:t>принято участие в 558 судебных заседаниях, (АППГ – 565) из них:</w:t>
      </w:r>
    </w:p>
    <w:p w:rsidR="00B52DE3" w:rsidRDefault="00DE73E3">
      <w:pPr>
        <w:pStyle w:val="afff1"/>
        <w:spacing w:line="360" w:lineRule="auto"/>
        <w:ind w:left="0" w:firstLine="709"/>
        <w:jc w:val="both"/>
        <w:rPr>
          <w:sz w:val="28"/>
          <w:szCs w:val="28"/>
        </w:rPr>
      </w:pPr>
      <w:r>
        <w:rPr>
          <w:sz w:val="28"/>
          <w:szCs w:val="28"/>
        </w:rPr>
        <w:t>по вопросам лишения/ограничения родителей в родительских правах – 103 (АППГ – 124);</w:t>
      </w:r>
    </w:p>
    <w:p w:rsidR="00B52DE3" w:rsidRDefault="00DE73E3">
      <w:pPr>
        <w:pStyle w:val="afff1"/>
        <w:spacing w:line="360" w:lineRule="auto"/>
        <w:ind w:left="0" w:firstLine="709"/>
        <w:jc w:val="both"/>
        <w:rPr>
          <w:sz w:val="28"/>
          <w:szCs w:val="28"/>
        </w:rPr>
      </w:pPr>
      <w:r>
        <w:rPr>
          <w:sz w:val="28"/>
          <w:szCs w:val="28"/>
        </w:rPr>
        <w:t>по определению места жительства ребенка – 149 (АППГ – 162);</w:t>
      </w:r>
    </w:p>
    <w:p w:rsidR="00B52DE3" w:rsidRDefault="00DE73E3">
      <w:pPr>
        <w:pStyle w:val="afff1"/>
        <w:spacing w:line="360" w:lineRule="auto"/>
        <w:ind w:left="0" w:firstLine="709"/>
        <w:jc w:val="both"/>
        <w:rPr>
          <w:sz w:val="28"/>
          <w:szCs w:val="28"/>
        </w:rPr>
      </w:pPr>
      <w:r>
        <w:rPr>
          <w:sz w:val="28"/>
          <w:szCs w:val="28"/>
        </w:rPr>
        <w:t>по порядку общения – 123 (АППГ – 142);</w:t>
      </w:r>
    </w:p>
    <w:p w:rsidR="00B52DE3" w:rsidRDefault="00DE73E3">
      <w:pPr>
        <w:pStyle w:val="afff1"/>
        <w:spacing w:line="360" w:lineRule="auto"/>
        <w:ind w:left="0" w:firstLine="709"/>
        <w:jc w:val="both"/>
        <w:rPr>
          <w:sz w:val="28"/>
          <w:szCs w:val="28"/>
        </w:rPr>
      </w:pPr>
      <w:r>
        <w:rPr>
          <w:sz w:val="28"/>
          <w:szCs w:val="28"/>
        </w:rPr>
        <w:t>по иным вопросам – 183 (АППГ – 137).</w:t>
      </w:r>
    </w:p>
    <w:p w:rsidR="00B52DE3" w:rsidRDefault="00DE73E3">
      <w:pPr>
        <w:pStyle w:val="afff1"/>
        <w:spacing w:line="360" w:lineRule="auto"/>
        <w:ind w:left="0" w:firstLine="709"/>
        <w:jc w:val="both"/>
        <w:rPr>
          <w:sz w:val="28"/>
          <w:szCs w:val="28"/>
        </w:rPr>
      </w:pPr>
      <w:r>
        <w:rPr>
          <w:sz w:val="28"/>
          <w:szCs w:val="28"/>
        </w:rPr>
        <w:t xml:space="preserve">Принято участие в уголовно-процессуальных делах в качестве законного представителя – 53 (АППГ – 49).  </w:t>
      </w:r>
    </w:p>
    <w:p w:rsidR="00B52DE3" w:rsidRDefault="00DE73E3">
      <w:pPr>
        <w:pStyle w:val="afff1"/>
        <w:spacing w:line="360" w:lineRule="auto"/>
        <w:ind w:left="0" w:firstLine="709"/>
        <w:jc w:val="both"/>
        <w:rPr>
          <w:sz w:val="28"/>
          <w:szCs w:val="28"/>
        </w:rPr>
      </w:pPr>
      <w:r>
        <w:rPr>
          <w:sz w:val="28"/>
          <w:szCs w:val="28"/>
        </w:rPr>
        <w:t xml:space="preserve">Таким образом, по итогам 2025 года произошло увеличение выявленного числа детей-сирот и детей, оставшихся без попечения родителей на 94 % (с 33 до 64 человек). </w:t>
      </w:r>
    </w:p>
    <w:p w:rsidR="00B52DE3" w:rsidRDefault="00DE73E3">
      <w:pPr>
        <w:pStyle w:val="afff1"/>
        <w:spacing w:line="360" w:lineRule="auto"/>
        <w:ind w:left="0" w:firstLine="709"/>
        <w:jc w:val="both"/>
        <w:rPr>
          <w:sz w:val="28"/>
          <w:szCs w:val="28"/>
        </w:rPr>
      </w:pPr>
      <w:r>
        <w:rPr>
          <w:sz w:val="28"/>
          <w:szCs w:val="28"/>
        </w:rPr>
        <w:t xml:space="preserve">На 11,5 % снизилось количество детей, переданных на семейные формы воспитания из учреждений для детей-сирот и детей, оставшихся без попечения родителей (с 52 до 46 человек). </w:t>
      </w:r>
    </w:p>
    <w:p w:rsidR="00B52DE3" w:rsidRDefault="00DE73E3">
      <w:pPr>
        <w:pStyle w:val="2f6"/>
        <w:keepNext w:val="0"/>
        <w:spacing w:line="240" w:lineRule="auto"/>
        <w:ind w:left="0"/>
      </w:pPr>
      <w:bookmarkStart w:id="163" w:name="_Toc149"/>
      <w:r>
        <w:t>Работа управления ЗАГС на территории Уссурийского городского округа</w:t>
      </w:r>
      <w:bookmarkEnd w:id="163"/>
    </w:p>
    <w:p w:rsidR="00B52DE3" w:rsidRDefault="00B52DE3">
      <w:pPr>
        <w:pStyle w:val="2f6"/>
        <w:keepNext w:val="0"/>
        <w:spacing w:line="240" w:lineRule="auto"/>
        <w:ind w:left="0"/>
      </w:pPr>
    </w:p>
    <w:p w:rsidR="00B52DE3" w:rsidRDefault="00DE73E3">
      <w:pPr>
        <w:tabs>
          <w:tab w:val="left" w:pos="851"/>
        </w:tabs>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Путём своевременной, полной и соответствующей законодательству регистрации актов гражданского состояния и в целях охраны имущественных и личных неимущественных прав граждан Уссурийского городского округа, управлением ЗАГС администрации Уссурийского городского округа Приморского края (по состоянию на 1 декабря 2025 года) зарегистрировано         7 151 акт гражданского состояния (2024 год 7601).</w:t>
      </w:r>
    </w:p>
    <w:tbl>
      <w:tblPr>
        <w:tblW w:w="9570" w:type="dxa"/>
        <w:tblInd w:w="-113" w:type="dxa"/>
        <w:tblLayout w:type="fixed"/>
        <w:tblLook w:val="04A0"/>
      </w:tblPr>
      <w:tblGrid>
        <w:gridCol w:w="622"/>
        <w:gridCol w:w="4300"/>
        <w:gridCol w:w="2340"/>
        <w:gridCol w:w="2308"/>
      </w:tblGrid>
      <w:tr w:rsidR="00B52DE3">
        <w:trPr>
          <w:trHeight w:val="649"/>
        </w:trPr>
        <w:tc>
          <w:tcPr>
            <w:tcW w:w="621"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w:t>
            </w:r>
          </w:p>
          <w:p w:rsidR="00B52DE3" w:rsidRDefault="00DE73E3">
            <w:pPr>
              <w:jc w:val="both"/>
              <w:rPr>
                <w:rFonts w:ascii="Times New Roman" w:hAnsi="Times New Roman" w:cs="Times New Roman"/>
                <w:sz w:val="28"/>
                <w:szCs w:val="28"/>
              </w:rPr>
            </w:pPr>
            <w:proofErr w:type="spellStart"/>
            <w:r>
              <w:rPr>
                <w:rFonts w:ascii="Times New Roman" w:eastAsia="Times New Roman" w:hAnsi="Times New Roman" w:cs="Times New Roman"/>
                <w:sz w:val="28"/>
                <w:szCs w:val="28"/>
              </w:rPr>
              <w:t>п</w:t>
            </w:r>
            <w:proofErr w:type="spell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4300"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акты гражданского состояния по видам (на 1 декабря  2025 года)</w:t>
            </w:r>
          </w:p>
        </w:tc>
        <w:tc>
          <w:tcPr>
            <w:tcW w:w="2340"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2025 год</w:t>
            </w:r>
          </w:p>
        </w:tc>
        <w:tc>
          <w:tcPr>
            <w:tcW w:w="230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2024 год</w:t>
            </w:r>
          </w:p>
        </w:tc>
      </w:tr>
      <w:tr w:rsidR="00B52DE3">
        <w:tc>
          <w:tcPr>
            <w:tcW w:w="62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w:t>
            </w:r>
          </w:p>
        </w:tc>
        <w:tc>
          <w:tcPr>
            <w:tcW w:w="4300"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рождение</w:t>
            </w:r>
          </w:p>
        </w:tc>
        <w:tc>
          <w:tcPr>
            <w:tcW w:w="2340"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1634</w:t>
            </w:r>
          </w:p>
        </w:tc>
        <w:tc>
          <w:tcPr>
            <w:tcW w:w="230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1710</w:t>
            </w:r>
          </w:p>
        </w:tc>
      </w:tr>
      <w:tr w:rsidR="00B52DE3">
        <w:tc>
          <w:tcPr>
            <w:tcW w:w="62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w:t>
            </w:r>
          </w:p>
        </w:tc>
        <w:tc>
          <w:tcPr>
            <w:tcW w:w="4300"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смерть</w:t>
            </w:r>
          </w:p>
        </w:tc>
        <w:tc>
          <w:tcPr>
            <w:tcW w:w="2340"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2580</w:t>
            </w:r>
          </w:p>
        </w:tc>
        <w:tc>
          <w:tcPr>
            <w:tcW w:w="230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2403</w:t>
            </w:r>
          </w:p>
        </w:tc>
      </w:tr>
      <w:tr w:rsidR="00B52DE3">
        <w:tc>
          <w:tcPr>
            <w:tcW w:w="62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4300"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заключение  брака</w:t>
            </w:r>
          </w:p>
        </w:tc>
        <w:tc>
          <w:tcPr>
            <w:tcW w:w="2340"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1589</w:t>
            </w:r>
          </w:p>
        </w:tc>
        <w:tc>
          <w:tcPr>
            <w:tcW w:w="230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1725</w:t>
            </w:r>
          </w:p>
        </w:tc>
      </w:tr>
      <w:tr w:rsidR="00B52DE3">
        <w:tc>
          <w:tcPr>
            <w:tcW w:w="62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4</w:t>
            </w:r>
          </w:p>
        </w:tc>
        <w:tc>
          <w:tcPr>
            <w:tcW w:w="4300"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расторжение брака</w:t>
            </w:r>
          </w:p>
        </w:tc>
        <w:tc>
          <w:tcPr>
            <w:tcW w:w="2340"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918</w:t>
            </w:r>
          </w:p>
        </w:tc>
        <w:tc>
          <w:tcPr>
            <w:tcW w:w="230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1254</w:t>
            </w:r>
          </w:p>
        </w:tc>
      </w:tr>
      <w:tr w:rsidR="00B52DE3">
        <w:tc>
          <w:tcPr>
            <w:tcW w:w="62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5</w:t>
            </w:r>
          </w:p>
        </w:tc>
        <w:tc>
          <w:tcPr>
            <w:tcW w:w="4300"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установление отцовства</w:t>
            </w:r>
          </w:p>
        </w:tc>
        <w:tc>
          <w:tcPr>
            <w:tcW w:w="2340"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226</w:t>
            </w:r>
          </w:p>
        </w:tc>
        <w:tc>
          <w:tcPr>
            <w:tcW w:w="230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202</w:t>
            </w:r>
          </w:p>
        </w:tc>
      </w:tr>
      <w:tr w:rsidR="00B52DE3">
        <w:tc>
          <w:tcPr>
            <w:tcW w:w="62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6</w:t>
            </w:r>
          </w:p>
        </w:tc>
        <w:tc>
          <w:tcPr>
            <w:tcW w:w="4300"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усыновление</w:t>
            </w:r>
          </w:p>
        </w:tc>
        <w:tc>
          <w:tcPr>
            <w:tcW w:w="2340"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26</w:t>
            </w:r>
          </w:p>
        </w:tc>
        <w:tc>
          <w:tcPr>
            <w:tcW w:w="230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26</w:t>
            </w:r>
          </w:p>
        </w:tc>
      </w:tr>
      <w:tr w:rsidR="00B52DE3">
        <w:tc>
          <w:tcPr>
            <w:tcW w:w="62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7</w:t>
            </w:r>
          </w:p>
        </w:tc>
        <w:tc>
          <w:tcPr>
            <w:tcW w:w="4300"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перемена имени</w:t>
            </w:r>
          </w:p>
        </w:tc>
        <w:tc>
          <w:tcPr>
            <w:tcW w:w="2340"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178</w:t>
            </w:r>
          </w:p>
        </w:tc>
        <w:tc>
          <w:tcPr>
            <w:tcW w:w="230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281</w:t>
            </w:r>
          </w:p>
        </w:tc>
      </w:tr>
      <w:tr w:rsidR="00B52DE3">
        <w:tc>
          <w:tcPr>
            <w:tcW w:w="4921" w:type="dxa"/>
            <w:gridSpan w:val="2"/>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ВСЕГО</w:t>
            </w:r>
            <w:r>
              <w:rPr>
                <w:rFonts w:ascii="Times New Roman" w:eastAsia="Times New Roman" w:hAnsi="Times New Roman" w:cs="Times New Roman"/>
                <w:sz w:val="28"/>
                <w:szCs w:val="28"/>
                <w:lang w:val="en-US"/>
              </w:rPr>
              <w:t>:</w:t>
            </w:r>
          </w:p>
        </w:tc>
        <w:tc>
          <w:tcPr>
            <w:tcW w:w="2340"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7151</w:t>
            </w:r>
          </w:p>
        </w:tc>
        <w:tc>
          <w:tcPr>
            <w:tcW w:w="230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7601</w:t>
            </w:r>
          </w:p>
        </w:tc>
      </w:tr>
    </w:tbl>
    <w:p w:rsidR="00B52DE3" w:rsidRDefault="00DE73E3">
      <w:pPr>
        <w:tabs>
          <w:tab w:val="left" w:pos="851"/>
        </w:tabs>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B52DE3" w:rsidRDefault="00DE73E3">
      <w:pPr>
        <w:tabs>
          <w:tab w:val="left" w:pos="851"/>
        </w:tabs>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Уменьшение общего количества зарегистрированных актов гражданского состояния связано с уменьшением количества записей актов о рождении, о заключении брака, о расторжении брака, о перемене имени.</w:t>
      </w:r>
    </w:p>
    <w:p w:rsidR="00B52DE3" w:rsidRDefault="00DE73E3">
      <w:pPr>
        <w:tabs>
          <w:tab w:val="left" w:pos="851"/>
        </w:tabs>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ab/>
        <w:t>Увеличилось количество зарегистрированных  актов о смерти, об установлении отцовства.</w:t>
      </w:r>
    </w:p>
    <w:p w:rsidR="00B52DE3" w:rsidRDefault="00DE73E3">
      <w:pPr>
        <w:tabs>
          <w:tab w:val="left" w:pos="709"/>
          <w:tab w:val="left" w:pos="851"/>
        </w:tabs>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ab/>
        <w:t>В 2025 году управлением ЗАГС зарегистрировано 1634 акта о рождении (2024 год 1710):</w:t>
      </w:r>
    </w:p>
    <w:tbl>
      <w:tblPr>
        <w:tblW w:w="9570" w:type="dxa"/>
        <w:tblInd w:w="-113" w:type="dxa"/>
        <w:tblLayout w:type="fixed"/>
        <w:tblLook w:val="04A0"/>
      </w:tblPr>
      <w:tblGrid>
        <w:gridCol w:w="693"/>
        <w:gridCol w:w="4627"/>
        <w:gridCol w:w="2218"/>
        <w:gridCol w:w="2032"/>
      </w:tblGrid>
      <w:tr w:rsidR="00B52DE3">
        <w:tc>
          <w:tcPr>
            <w:tcW w:w="692"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w:t>
            </w:r>
            <w:proofErr w:type="spell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4627"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наименование</w:t>
            </w:r>
          </w:p>
        </w:tc>
        <w:tc>
          <w:tcPr>
            <w:tcW w:w="221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2025 год</w:t>
            </w:r>
          </w:p>
        </w:tc>
        <w:tc>
          <w:tcPr>
            <w:tcW w:w="2032"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2024 год</w:t>
            </w:r>
          </w:p>
        </w:tc>
      </w:tr>
      <w:tr w:rsidR="00B52DE3">
        <w:trPr>
          <w:trHeight w:val="748"/>
        </w:trPr>
        <w:tc>
          <w:tcPr>
            <w:tcW w:w="692"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w:t>
            </w:r>
          </w:p>
        </w:tc>
        <w:tc>
          <w:tcPr>
            <w:tcW w:w="4627"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детей, родившихся у одиноких матерей</w:t>
            </w:r>
          </w:p>
        </w:tc>
        <w:tc>
          <w:tcPr>
            <w:tcW w:w="221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194</w:t>
            </w:r>
          </w:p>
        </w:tc>
        <w:tc>
          <w:tcPr>
            <w:tcW w:w="2032"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213</w:t>
            </w:r>
          </w:p>
        </w:tc>
      </w:tr>
      <w:tr w:rsidR="00B52DE3">
        <w:trPr>
          <w:trHeight w:val="748"/>
        </w:trPr>
        <w:tc>
          <w:tcPr>
            <w:tcW w:w="692"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w:t>
            </w:r>
          </w:p>
        </w:tc>
        <w:tc>
          <w:tcPr>
            <w:tcW w:w="4627"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детей, родившихся у матерей в возрасте до 18 лет</w:t>
            </w:r>
          </w:p>
        </w:tc>
        <w:tc>
          <w:tcPr>
            <w:tcW w:w="2218"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15</w:t>
            </w:r>
          </w:p>
        </w:tc>
        <w:tc>
          <w:tcPr>
            <w:tcW w:w="2032"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3</w:t>
            </w:r>
          </w:p>
        </w:tc>
      </w:tr>
      <w:tr w:rsidR="00B52DE3">
        <w:tc>
          <w:tcPr>
            <w:tcW w:w="692"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3</w:t>
            </w:r>
          </w:p>
        </w:tc>
        <w:tc>
          <w:tcPr>
            <w:tcW w:w="4627"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мальчиков</w:t>
            </w:r>
          </w:p>
        </w:tc>
        <w:tc>
          <w:tcPr>
            <w:tcW w:w="221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816</w:t>
            </w:r>
          </w:p>
        </w:tc>
        <w:tc>
          <w:tcPr>
            <w:tcW w:w="2032"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893</w:t>
            </w:r>
          </w:p>
        </w:tc>
      </w:tr>
      <w:tr w:rsidR="00B52DE3">
        <w:tc>
          <w:tcPr>
            <w:tcW w:w="692"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4</w:t>
            </w:r>
          </w:p>
        </w:tc>
        <w:tc>
          <w:tcPr>
            <w:tcW w:w="4627"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девочек</w:t>
            </w:r>
          </w:p>
        </w:tc>
        <w:tc>
          <w:tcPr>
            <w:tcW w:w="221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818</w:t>
            </w:r>
          </w:p>
        </w:tc>
        <w:tc>
          <w:tcPr>
            <w:tcW w:w="2032"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817</w:t>
            </w:r>
          </w:p>
        </w:tc>
      </w:tr>
      <w:tr w:rsidR="00B52DE3">
        <w:tc>
          <w:tcPr>
            <w:tcW w:w="692"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5</w:t>
            </w:r>
          </w:p>
        </w:tc>
        <w:tc>
          <w:tcPr>
            <w:tcW w:w="4627"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наиболее популярные имена мальчиков</w:t>
            </w:r>
          </w:p>
        </w:tc>
        <w:tc>
          <w:tcPr>
            <w:tcW w:w="221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Артём,</w:t>
            </w:r>
          </w:p>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Александр,</w:t>
            </w:r>
          </w:p>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Дмитрий</w:t>
            </w:r>
          </w:p>
        </w:tc>
        <w:tc>
          <w:tcPr>
            <w:tcW w:w="2032"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Артём, Матвей, Тимофей</w:t>
            </w:r>
          </w:p>
        </w:tc>
      </w:tr>
      <w:tr w:rsidR="00B52DE3">
        <w:tc>
          <w:tcPr>
            <w:tcW w:w="692"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6</w:t>
            </w:r>
          </w:p>
        </w:tc>
        <w:tc>
          <w:tcPr>
            <w:tcW w:w="4627"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наиболее популярные имена девочек</w:t>
            </w:r>
          </w:p>
        </w:tc>
        <w:tc>
          <w:tcPr>
            <w:tcW w:w="221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Алиса, Мила, Ксения</w:t>
            </w:r>
          </w:p>
        </w:tc>
        <w:tc>
          <w:tcPr>
            <w:tcW w:w="2032"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Ева, София, Алиса</w:t>
            </w:r>
          </w:p>
        </w:tc>
      </w:tr>
      <w:tr w:rsidR="00B52DE3">
        <w:tc>
          <w:tcPr>
            <w:tcW w:w="692"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7</w:t>
            </w:r>
          </w:p>
        </w:tc>
        <w:tc>
          <w:tcPr>
            <w:tcW w:w="4627"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двойня (и более)</w:t>
            </w:r>
          </w:p>
        </w:tc>
        <w:tc>
          <w:tcPr>
            <w:tcW w:w="221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20</w:t>
            </w:r>
          </w:p>
        </w:tc>
        <w:tc>
          <w:tcPr>
            <w:tcW w:w="2032"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7</w:t>
            </w:r>
          </w:p>
        </w:tc>
      </w:tr>
    </w:tbl>
    <w:p w:rsidR="00B52DE3" w:rsidRDefault="00DE73E3">
      <w:pPr>
        <w:tabs>
          <w:tab w:val="left" w:pos="851"/>
        </w:tabs>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B52DE3" w:rsidRDefault="00DE73E3">
      <w:pPr>
        <w:tabs>
          <w:tab w:val="left" w:pos="851"/>
        </w:tabs>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В 2025 году управлением ЗАГС было составлено 2580 записей акта о смерти (АППГ - 2403). Количество умерших мужчин 1519 (АППГ - 1138), в том числе в возрасте старше 70 лет 432 человека (АППГ - 450), женщин 1061 (АППГ - 1265), в том числе в возрасте старше 70 лет 687 человек (АППГ - 688).</w:t>
      </w:r>
    </w:p>
    <w:p w:rsidR="00B52DE3" w:rsidRDefault="00DE73E3">
      <w:pPr>
        <w:tabs>
          <w:tab w:val="left" w:pos="851"/>
        </w:tabs>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В 2025 году в управлении ЗАГС зарегистрировали брак 1589 пар молодожёнов (АППГ - 1725). Из них не состояли ранее в браке 1230              (АППГ - 1095), были разведены  1113 (АППГ - 594).  Из общего количества актовых записей о браке зарегистрировано:</w:t>
      </w:r>
    </w:p>
    <w:tbl>
      <w:tblPr>
        <w:tblW w:w="9287" w:type="dxa"/>
        <w:tblInd w:w="-113" w:type="dxa"/>
        <w:tblLayout w:type="fixed"/>
        <w:tblLook w:val="04A0"/>
      </w:tblPr>
      <w:tblGrid>
        <w:gridCol w:w="845"/>
        <w:gridCol w:w="4571"/>
        <w:gridCol w:w="1874"/>
        <w:gridCol w:w="1997"/>
      </w:tblGrid>
      <w:tr w:rsidR="00B52DE3">
        <w:tc>
          <w:tcPr>
            <w:tcW w:w="844"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w:t>
            </w:r>
          </w:p>
          <w:p w:rsidR="00B52DE3" w:rsidRDefault="00DE73E3">
            <w:pPr>
              <w:jc w:val="both"/>
              <w:rPr>
                <w:rFonts w:ascii="Times New Roman" w:hAnsi="Times New Roman" w:cs="Times New Roman"/>
                <w:sz w:val="28"/>
                <w:szCs w:val="28"/>
              </w:rPr>
            </w:pPr>
            <w:proofErr w:type="spellStart"/>
            <w:r>
              <w:rPr>
                <w:rFonts w:ascii="Times New Roman" w:eastAsia="Times New Roman" w:hAnsi="Times New Roman" w:cs="Times New Roman"/>
                <w:sz w:val="28"/>
                <w:szCs w:val="28"/>
              </w:rPr>
              <w:t>п</w:t>
            </w:r>
            <w:proofErr w:type="spell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4571"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наименование</w:t>
            </w:r>
          </w:p>
        </w:tc>
        <w:tc>
          <w:tcPr>
            <w:tcW w:w="1874"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2025 год</w:t>
            </w:r>
          </w:p>
        </w:tc>
        <w:tc>
          <w:tcPr>
            <w:tcW w:w="1997"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2024 год</w:t>
            </w:r>
          </w:p>
        </w:tc>
      </w:tr>
      <w:tr w:rsidR="00B52DE3">
        <w:trPr>
          <w:trHeight w:val="730"/>
        </w:trPr>
        <w:tc>
          <w:tcPr>
            <w:tcW w:w="844"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1</w:t>
            </w:r>
          </w:p>
        </w:tc>
        <w:tc>
          <w:tcPr>
            <w:tcW w:w="4571" w:type="dxa"/>
            <w:tcBorders>
              <w:top w:val="single" w:sz="4" w:space="0" w:color="000000"/>
              <w:left w:val="single" w:sz="4" w:space="0" w:color="000000"/>
              <w:bottom w:val="single" w:sz="4" w:space="0" w:color="000000"/>
              <w:right w:val="single" w:sz="4" w:space="0" w:color="000000"/>
            </w:tcBorders>
          </w:tcPr>
          <w:p w:rsidR="00B52DE3" w:rsidRDefault="00DE73E3">
            <w:pPr>
              <w:rPr>
                <w:rFonts w:ascii="Times New Roman" w:hAnsi="Times New Roman" w:cs="Times New Roman"/>
                <w:sz w:val="28"/>
                <w:szCs w:val="28"/>
              </w:rPr>
            </w:pPr>
            <w:r>
              <w:rPr>
                <w:rFonts w:ascii="Times New Roman" w:eastAsia="Times New Roman" w:hAnsi="Times New Roman" w:cs="Times New Roman"/>
                <w:sz w:val="28"/>
                <w:szCs w:val="28"/>
              </w:rPr>
              <w:t>регистрация брака с сокращением срока</w:t>
            </w:r>
          </w:p>
        </w:tc>
        <w:tc>
          <w:tcPr>
            <w:tcW w:w="1874"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563</w:t>
            </w:r>
          </w:p>
        </w:tc>
        <w:tc>
          <w:tcPr>
            <w:tcW w:w="1997"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500</w:t>
            </w:r>
          </w:p>
        </w:tc>
      </w:tr>
      <w:tr w:rsidR="00B52DE3">
        <w:trPr>
          <w:trHeight w:val="629"/>
        </w:trPr>
        <w:tc>
          <w:tcPr>
            <w:tcW w:w="844"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1.1.</w:t>
            </w:r>
          </w:p>
        </w:tc>
        <w:tc>
          <w:tcPr>
            <w:tcW w:w="4571" w:type="dxa"/>
            <w:tcBorders>
              <w:top w:val="single" w:sz="4" w:space="0" w:color="000000"/>
              <w:left w:val="single" w:sz="4" w:space="0" w:color="000000"/>
              <w:bottom w:val="single" w:sz="4" w:space="0" w:color="000000"/>
              <w:right w:val="single" w:sz="4" w:space="0" w:color="000000"/>
            </w:tcBorders>
          </w:tcPr>
          <w:p w:rsidR="00B52DE3" w:rsidRDefault="00DE73E3">
            <w:pPr>
              <w:rPr>
                <w:rFonts w:ascii="Times New Roman" w:hAnsi="Times New Roman" w:cs="Times New Roman"/>
                <w:sz w:val="28"/>
                <w:szCs w:val="28"/>
              </w:rPr>
            </w:pPr>
            <w:r>
              <w:rPr>
                <w:rFonts w:ascii="Times New Roman" w:eastAsia="Times New Roman" w:hAnsi="Times New Roman" w:cs="Times New Roman"/>
                <w:sz w:val="28"/>
                <w:szCs w:val="28"/>
              </w:rPr>
              <w:t>участники специальной военной операции</w:t>
            </w:r>
          </w:p>
        </w:tc>
        <w:tc>
          <w:tcPr>
            <w:tcW w:w="1874"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428</w:t>
            </w:r>
          </w:p>
        </w:tc>
        <w:tc>
          <w:tcPr>
            <w:tcW w:w="1997"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378</w:t>
            </w:r>
          </w:p>
        </w:tc>
      </w:tr>
      <w:tr w:rsidR="00B52DE3">
        <w:tc>
          <w:tcPr>
            <w:tcW w:w="844"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2</w:t>
            </w:r>
          </w:p>
        </w:tc>
        <w:tc>
          <w:tcPr>
            <w:tcW w:w="4571" w:type="dxa"/>
            <w:tcBorders>
              <w:top w:val="single" w:sz="4" w:space="0" w:color="000000"/>
              <w:left w:val="single" w:sz="4" w:space="0" w:color="000000"/>
              <w:bottom w:val="single" w:sz="4" w:space="0" w:color="000000"/>
              <w:right w:val="single" w:sz="4" w:space="0" w:color="000000"/>
            </w:tcBorders>
          </w:tcPr>
          <w:p w:rsidR="00B52DE3" w:rsidRDefault="00DE73E3">
            <w:pPr>
              <w:rPr>
                <w:rFonts w:ascii="Times New Roman" w:hAnsi="Times New Roman" w:cs="Times New Roman"/>
                <w:sz w:val="28"/>
                <w:szCs w:val="28"/>
              </w:rPr>
            </w:pPr>
            <w:r>
              <w:rPr>
                <w:rFonts w:ascii="Times New Roman" w:eastAsia="Times New Roman" w:hAnsi="Times New Roman" w:cs="Times New Roman"/>
                <w:sz w:val="28"/>
                <w:szCs w:val="28"/>
              </w:rPr>
              <w:t>молодожёны в возрасте до 18 лет</w:t>
            </w:r>
          </w:p>
        </w:tc>
        <w:tc>
          <w:tcPr>
            <w:tcW w:w="1874"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5</w:t>
            </w:r>
          </w:p>
        </w:tc>
        <w:tc>
          <w:tcPr>
            <w:tcW w:w="1997"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3</w:t>
            </w:r>
          </w:p>
        </w:tc>
      </w:tr>
      <w:tr w:rsidR="00B52DE3">
        <w:tc>
          <w:tcPr>
            <w:tcW w:w="844"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3</w:t>
            </w:r>
          </w:p>
        </w:tc>
        <w:tc>
          <w:tcPr>
            <w:tcW w:w="4571" w:type="dxa"/>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зарегистрировано браков с участием иностранных граждан</w:t>
            </w:r>
          </w:p>
        </w:tc>
        <w:tc>
          <w:tcPr>
            <w:tcW w:w="1874"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44</w:t>
            </w:r>
          </w:p>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(наибольшее количество –</w:t>
            </w:r>
            <w:proofErr w:type="spellStart"/>
            <w:r>
              <w:rPr>
                <w:rFonts w:ascii="Times New Roman" w:eastAsia="Times New Roman" w:hAnsi="Times New Roman" w:cs="Times New Roman"/>
                <w:sz w:val="28"/>
                <w:szCs w:val="28"/>
              </w:rPr>
              <w:t>Таджики-стан</w:t>
            </w:r>
            <w:proofErr w:type="spellEnd"/>
            <w:r>
              <w:rPr>
                <w:rFonts w:ascii="Times New Roman" w:eastAsia="Times New Roman" w:hAnsi="Times New Roman" w:cs="Times New Roman"/>
                <w:sz w:val="28"/>
                <w:szCs w:val="28"/>
              </w:rPr>
              <w:t>, Узбекистан)</w:t>
            </w:r>
          </w:p>
        </w:tc>
        <w:tc>
          <w:tcPr>
            <w:tcW w:w="1997"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48</w:t>
            </w:r>
          </w:p>
          <w:p w:rsidR="00B52DE3" w:rsidRDefault="004334E9">
            <w:pPr>
              <w:jc w:val="center"/>
              <w:rPr>
                <w:rFonts w:ascii="Times New Roman" w:hAnsi="Times New Roman" w:cs="Times New Roman"/>
                <w:sz w:val="28"/>
                <w:szCs w:val="28"/>
              </w:rPr>
            </w:pPr>
            <w:r>
              <w:rPr>
                <w:rFonts w:ascii="Times New Roman" w:eastAsia="Times New Roman" w:hAnsi="Times New Roman" w:cs="Times New Roman"/>
                <w:sz w:val="28"/>
                <w:szCs w:val="28"/>
              </w:rPr>
              <w:t>(наибольшее количество –Таджики</w:t>
            </w:r>
            <w:r w:rsidR="00DE73E3">
              <w:rPr>
                <w:rFonts w:ascii="Times New Roman" w:eastAsia="Times New Roman" w:hAnsi="Times New Roman" w:cs="Times New Roman"/>
                <w:sz w:val="28"/>
                <w:szCs w:val="28"/>
              </w:rPr>
              <w:t>стан, Узбекистан)</w:t>
            </w:r>
          </w:p>
        </w:tc>
      </w:tr>
    </w:tbl>
    <w:p w:rsidR="00B52DE3" w:rsidRDefault="00B52DE3">
      <w:pPr>
        <w:tabs>
          <w:tab w:val="left" w:pos="851"/>
        </w:tabs>
        <w:spacing w:line="360" w:lineRule="auto"/>
        <w:ind w:firstLine="720"/>
        <w:jc w:val="both"/>
        <w:rPr>
          <w:rFonts w:ascii="Times New Roman" w:hAnsi="Times New Roman" w:cs="Times New Roman"/>
          <w:sz w:val="28"/>
          <w:szCs w:val="28"/>
        </w:rPr>
      </w:pPr>
    </w:p>
    <w:p w:rsidR="00B52DE3" w:rsidRDefault="00DE73E3">
      <w:pPr>
        <w:tabs>
          <w:tab w:val="left" w:pos="851"/>
        </w:tabs>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В 2025 году наибольшее количество мужчин зарегистрировали брак в возрасте 18-30 лет 512 человек (АППГ - 434). Наибольшее количество женщин зарегистрировали брак в возрасте 18-30 лет 713 человек (АППГ - 608). </w:t>
      </w:r>
    </w:p>
    <w:p w:rsidR="00B52DE3" w:rsidRDefault="00DE73E3">
      <w:pPr>
        <w:spacing w:line="360" w:lineRule="auto"/>
        <w:ind w:firstLine="720"/>
        <w:jc w:val="both"/>
        <w:rPr>
          <w:rFonts w:ascii="Times New Roman" w:hAnsi="Times New Roman" w:cs="Times New Roman"/>
          <w:sz w:val="28"/>
          <w:szCs w:val="28"/>
        </w:rPr>
      </w:pPr>
      <w:r>
        <w:rPr>
          <w:rFonts w:ascii="Times New Roman" w:eastAsia="Times New Roman" w:hAnsi="Times New Roman" w:cs="Times New Roman"/>
          <w:sz w:val="28"/>
          <w:szCs w:val="28"/>
        </w:rPr>
        <w:t>В 2025 году по решению суда оформили развод 635 супружеских пар (АППГ - 894), по совместному заявлению супругов, не имеющих несовершеннолетних детей 278 пар (АППГ - 353), по заявлению одного из супругов (приговор суда) 5 (АППГ - 7). Средний возраст  мужчин, оформлявших расторжение брака в 2025 году 25-49 лет; женщин 18-49 лет.</w:t>
      </w:r>
    </w:p>
    <w:p w:rsidR="00B52DE3" w:rsidRDefault="00DE73E3">
      <w:pPr>
        <w:tabs>
          <w:tab w:val="left" w:pos="851"/>
        </w:tabs>
        <w:spacing w:line="360" w:lineRule="auto"/>
        <w:ind w:firstLine="720"/>
        <w:jc w:val="both"/>
        <w:rPr>
          <w:rFonts w:ascii="Times New Roman" w:hAnsi="Times New Roman" w:cs="Times New Roman"/>
          <w:sz w:val="28"/>
          <w:szCs w:val="28"/>
        </w:rPr>
      </w:pPr>
      <w:r>
        <w:rPr>
          <w:rFonts w:ascii="Times New Roman" w:eastAsia="Times New Roman" w:hAnsi="Times New Roman" w:cs="Times New Roman"/>
          <w:sz w:val="28"/>
          <w:szCs w:val="28"/>
        </w:rPr>
        <w:t>Продолжительность браков составляет:</w:t>
      </w:r>
    </w:p>
    <w:tbl>
      <w:tblPr>
        <w:tblW w:w="9571" w:type="dxa"/>
        <w:tblInd w:w="-113" w:type="dxa"/>
        <w:tblLayout w:type="fixed"/>
        <w:tblLook w:val="04A0"/>
      </w:tblPr>
      <w:tblGrid>
        <w:gridCol w:w="669"/>
        <w:gridCol w:w="4969"/>
        <w:gridCol w:w="1840"/>
        <w:gridCol w:w="2093"/>
      </w:tblGrid>
      <w:tr w:rsidR="00B52DE3">
        <w:trPr>
          <w:trHeight w:val="330"/>
        </w:trPr>
        <w:tc>
          <w:tcPr>
            <w:tcW w:w="669" w:type="dxa"/>
            <w:vMerge w:val="restart"/>
            <w:tcBorders>
              <w:top w:val="single" w:sz="4" w:space="0" w:color="000000"/>
              <w:left w:val="single" w:sz="4" w:space="0" w:color="000000"/>
              <w:bottom w:val="single" w:sz="4" w:space="0" w:color="000000"/>
              <w:right w:val="single" w:sz="4" w:space="0" w:color="000000"/>
            </w:tcBorders>
          </w:tcPr>
          <w:p w:rsidR="00B52DE3" w:rsidRDefault="00DE73E3">
            <w:pPr>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p>
          <w:p w:rsidR="00B52DE3" w:rsidRDefault="00DE73E3">
            <w:pPr>
              <w:jc w:val="both"/>
              <w:rPr>
                <w:rFonts w:ascii="Times New Roman" w:hAnsi="Times New Roman" w:cs="Times New Roman"/>
                <w:sz w:val="28"/>
                <w:szCs w:val="28"/>
              </w:rPr>
            </w:pPr>
            <w:proofErr w:type="spellStart"/>
            <w:r>
              <w:rPr>
                <w:rFonts w:ascii="Times New Roman" w:eastAsia="Times New Roman" w:hAnsi="Times New Roman" w:cs="Times New Roman"/>
                <w:sz w:val="28"/>
                <w:szCs w:val="28"/>
              </w:rPr>
              <w:t>п</w:t>
            </w:r>
            <w:proofErr w:type="spell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4968" w:type="dxa"/>
            <w:vMerge w:val="restart"/>
            <w:tcBorders>
              <w:top w:val="single" w:sz="4" w:space="0" w:color="000000"/>
              <w:left w:val="single" w:sz="4" w:space="0" w:color="000000"/>
              <w:bottom w:val="single" w:sz="4" w:space="0" w:color="000000"/>
              <w:right w:val="single" w:sz="4" w:space="0" w:color="000000"/>
            </w:tcBorders>
            <w:vAlign w:val="center"/>
          </w:tcPr>
          <w:p w:rsidR="00B52DE3" w:rsidRDefault="00DE73E3">
            <w:pPr>
              <w:spacing w:line="360" w:lineRule="auto"/>
              <w:jc w:val="center"/>
              <w:rPr>
                <w:rFonts w:ascii="Times New Roman" w:hAnsi="Times New Roman" w:cs="Times New Roman"/>
                <w:sz w:val="28"/>
                <w:szCs w:val="28"/>
              </w:rPr>
            </w:pPr>
            <w:r>
              <w:rPr>
                <w:rFonts w:ascii="Times New Roman" w:eastAsia="Times New Roman" w:hAnsi="Times New Roman" w:cs="Times New Roman"/>
                <w:sz w:val="28"/>
                <w:szCs w:val="28"/>
              </w:rPr>
              <w:t>количество прожитых лет</w:t>
            </w:r>
          </w:p>
        </w:tc>
        <w:tc>
          <w:tcPr>
            <w:tcW w:w="3933" w:type="dxa"/>
            <w:gridSpan w:val="2"/>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количество супружеских пар</w:t>
            </w:r>
          </w:p>
          <w:p w:rsidR="00B52DE3" w:rsidRDefault="00B52DE3">
            <w:pPr>
              <w:jc w:val="center"/>
              <w:rPr>
                <w:rFonts w:ascii="Times New Roman" w:hAnsi="Times New Roman" w:cs="Times New Roman"/>
                <w:sz w:val="28"/>
                <w:szCs w:val="28"/>
              </w:rPr>
            </w:pPr>
          </w:p>
        </w:tc>
      </w:tr>
      <w:tr w:rsidR="00B52DE3">
        <w:trPr>
          <w:trHeight w:val="240"/>
        </w:trPr>
        <w:tc>
          <w:tcPr>
            <w:tcW w:w="669" w:type="dxa"/>
            <w:vMerge/>
            <w:tcBorders>
              <w:top w:val="single" w:sz="4" w:space="0" w:color="000000"/>
              <w:left w:val="single" w:sz="4" w:space="0" w:color="000000"/>
              <w:bottom w:val="single" w:sz="4" w:space="0" w:color="000000"/>
              <w:right w:val="single" w:sz="4" w:space="0" w:color="000000"/>
            </w:tcBorders>
            <w:vAlign w:val="center"/>
          </w:tcPr>
          <w:p w:rsidR="00B52DE3" w:rsidRDefault="00B52DE3">
            <w:pPr>
              <w:rPr>
                <w:rFonts w:ascii="Times New Roman" w:hAnsi="Times New Roman"/>
                <w:sz w:val="28"/>
                <w:szCs w:val="28"/>
              </w:rPr>
            </w:pPr>
          </w:p>
        </w:tc>
        <w:tc>
          <w:tcPr>
            <w:tcW w:w="4968" w:type="dxa"/>
            <w:vMerge/>
            <w:tcBorders>
              <w:top w:val="single" w:sz="4" w:space="0" w:color="000000"/>
              <w:left w:val="single" w:sz="4" w:space="0" w:color="000000"/>
              <w:bottom w:val="single" w:sz="4" w:space="0" w:color="000000"/>
              <w:right w:val="single" w:sz="4" w:space="0" w:color="000000"/>
            </w:tcBorders>
            <w:vAlign w:val="center"/>
          </w:tcPr>
          <w:p w:rsidR="00B52DE3" w:rsidRDefault="00B52DE3">
            <w:pPr>
              <w:rPr>
                <w:rFonts w:ascii="Times New Roman" w:hAnsi="Times New Roman"/>
                <w:sz w:val="28"/>
                <w:szCs w:val="28"/>
              </w:rPr>
            </w:pPr>
          </w:p>
        </w:tc>
        <w:tc>
          <w:tcPr>
            <w:tcW w:w="1840"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2025 год</w:t>
            </w:r>
          </w:p>
        </w:tc>
        <w:tc>
          <w:tcPr>
            <w:tcW w:w="2093"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2024 год</w:t>
            </w:r>
          </w:p>
        </w:tc>
      </w:tr>
      <w:tr w:rsidR="00B52DE3">
        <w:trPr>
          <w:trHeight w:val="268"/>
        </w:trPr>
        <w:tc>
          <w:tcPr>
            <w:tcW w:w="669" w:type="dxa"/>
            <w:tcBorders>
              <w:top w:val="single" w:sz="4" w:space="0" w:color="000000"/>
              <w:left w:val="single" w:sz="4" w:space="0" w:color="000000"/>
              <w:bottom w:val="single" w:sz="4" w:space="0" w:color="000000"/>
              <w:right w:val="single" w:sz="4" w:space="0" w:color="000000"/>
            </w:tcBorders>
          </w:tcPr>
          <w:p w:rsidR="00B52DE3" w:rsidRDefault="00DE73E3">
            <w:pPr>
              <w:spacing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1</w:t>
            </w:r>
          </w:p>
        </w:tc>
        <w:tc>
          <w:tcPr>
            <w:tcW w:w="49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менее 1 года</w:t>
            </w:r>
          </w:p>
        </w:tc>
        <w:tc>
          <w:tcPr>
            <w:tcW w:w="1840"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64</w:t>
            </w:r>
          </w:p>
        </w:tc>
        <w:tc>
          <w:tcPr>
            <w:tcW w:w="209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360" w:lineRule="auto"/>
              <w:jc w:val="center"/>
              <w:rPr>
                <w:rFonts w:ascii="Times New Roman" w:hAnsi="Times New Roman" w:cs="Times New Roman"/>
                <w:sz w:val="28"/>
                <w:szCs w:val="28"/>
              </w:rPr>
            </w:pPr>
            <w:r>
              <w:rPr>
                <w:rFonts w:ascii="Times New Roman" w:eastAsia="Times New Roman" w:hAnsi="Times New Roman" w:cs="Times New Roman"/>
                <w:sz w:val="28"/>
                <w:szCs w:val="28"/>
              </w:rPr>
              <w:t>95</w:t>
            </w:r>
          </w:p>
        </w:tc>
      </w:tr>
      <w:tr w:rsidR="00B52DE3">
        <w:tc>
          <w:tcPr>
            <w:tcW w:w="669" w:type="dxa"/>
            <w:tcBorders>
              <w:top w:val="single" w:sz="4" w:space="0" w:color="000000"/>
              <w:left w:val="single" w:sz="4" w:space="0" w:color="000000"/>
              <w:bottom w:val="single" w:sz="4" w:space="0" w:color="000000"/>
              <w:right w:val="single" w:sz="4" w:space="0" w:color="000000"/>
            </w:tcBorders>
          </w:tcPr>
          <w:p w:rsidR="00B52DE3" w:rsidRDefault="00DE73E3">
            <w:pPr>
              <w:spacing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2</w:t>
            </w:r>
          </w:p>
        </w:tc>
        <w:tc>
          <w:tcPr>
            <w:tcW w:w="49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1-4 лет</w:t>
            </w:r>
          </w:p>
        </w:tc>
        <w:tc>
          <w:tcPr>
            <w:tcW w:w="1840"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346</w:t>
            </w:r>
          </w:p>
        </w:tc>
        <w:tc>
          <w:tcPr>
            <w:tcW w:w="209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360" w:lineRule="auto"/>
              <w:jc w:val="center"/>
              <w:rPr>
                <w:rFonts w:ascii="Times New Roman" w:hAnsi="Times New Roman" w:cs="Times New Roman"/>
                <w:sz w:val="28"/>
                <w:szCs w:val="28"/>
              </w:rPr>
            </w:pPr>
            <w:r>
              <w:rPr>
                <w:rFonts w:ascii="Times New Roman" w:eastAsia="Times New Roman" w:hAnsi="Times New Roman" w:cs="Times New Roman"/>
                <w:sz w:val="28"/>
                <w:szCs w:val="28"/>
              </w:rPr>
              <w:t>426</w:t>
            </w:r>
          </w:p>
        </w:tc>
      </w:tr>
      <w:tr w:rsidR="00B52DE3">
        <w:tc>
          <w:tcPr>
            <w:tcW w:w="669" w:type="dxa"/>
            <w:tcBorders>
              <w:top w:val="single" w:sz="4" w:space="0" w:color="000000"/>
              <w:left w:val="single" w:sz="4" w:space="0" w:color="000000"/>
              <w:bottom w:val="single" w:sz="4" w:space="0" w:color="000000"/>
              <w:right w:val="single" w:sz="4" w:space="0" w:color="000000"/>
            </w:tcBorders>
          </w:tcPr>
          <w:p w:rsidR="00B52DE3" w:rsidRDefault="00DE73E3">
            <w:pPr>
              <w:spacing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3</w:t>
            </w:r>
          </w:p>
        </w:tc>
        <w:tc>
          <w:tcPr>
            <w:tcW w:w="49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5-9 лет</w:t>
            </w:r>
          </w:p>
        </w:tc>
        <w:tc>
          <w:tcPr>
            <w:tcW w:w="1840"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195</w:t>
            </w:r>
          </w:p>
        </w:tc>
        <w:tc>
          <w:tcPr>
            <w:tcW w:w="209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360" w:lineRule="auto"/>
              <w:jc w:val="center"/>
              <w:rPr>
                <w:rFonts w:ascii="Times New Roman" w:hAnsi="Times New Roman" w:cs="Times New Roman"/>
                <w:sz w:val="28"/>
                <w:szCs w:val="28"/>
              </w:rPr>
            </w:pPr>
            <w:r>
              <w:rPr>
                <w:rFonts w:ascii="Times New Roman" w:eastAsia="Times New Roman" w:hAnsi="Times New Roman" w:cs="Times New Roman"/>
                <w:sz w:val="28"/>
                <w:szCs w:val="28"/>
              </w:rPr>
              <w:t>303</w:t>
            </w:r>
          </w:p>
        </w:tc>
      </w:tr>
      <w:tr w:rsidR="00B52DE3">
        <w:tc>
          <w:tcPr>
            <w:tcW w:w="669" w:type="dxa"/>
            <w:tcBorders>
              <w:top w:val="single" w:sz="4" w:space="0" w:color="000000"/>
              <w:left w:val="single" w:sz="4" w:space="0" w:color="000000"/>
              <w:bottom w:val="single" w:sz="4" w:space="0" w:color="000000"/>
              <w:right w:val="single" w:sz="4" w:space="0" w:color="000000"/>
            </w:tcBorders>
          </w:tcPr>
          <w:p w:rsidR="00B52DE3" w:rsidRDefault="00DE73E3">
            <w:pPr>
              <w:spacing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4</w:t>
            </w:r>
          </w:p>
        </w:tc>
        <w:tc>
          <w:tcPr>
            <w:tcW w:w="49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10-19 лет</w:t>
            </w:r>
          </w:p>
        </w:tc>
        <w:tc>
          <w:tcPr>
            <w:tcW w:w="1840"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226</w:t>
            </w:r>
          </w:p>
        </w:tc>
        <w:tc>
          <w:tcPr>
            <w:tcW w:w="209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360" w:lineRule="auto"/>
              <w:jc w:val="center"/>
              <w:rPr>
                <w:rFonts w:ascii="Times New Roman" w:hAnsi="Times New Roman" w:cs="Times New Roman"/>
                <w:sz w:val="28"/>
                <w:szCs w:val="28"/>
              </w:rPr>
            </w:pPr>
            <w:r>
              <w:rPr>
                <w:rFonts w:ascii="Times New Roman" w:eastAsia="Times New Roman" w:hAnsi="Times New Roman" w:cs="Times New Roman"/>
                <w:sz w:val="28"/>
                <w:szCs w:val="28"/>
              </w:rPr>
              <w:t>297</w:t>
            </w:r>
          </w:p>
        </w:tc>
      </w:tr>
      <w:tr w:rsidR="00B52DE3">
        <w:trPr>
          <w:trHeight w:val="210"/>
        </w:trPr>
        <w:tc>
          <w:tcPr>
            <w:tcW w:w="669" w:type="dxa"/>
            <w:tcBorders>
              <w:top w:val="single" w:sz="4" w:space="0" w:color="000000"/>
              <w:left w:val="single" w:sz="4" w:space="0" w:color="000000"/>
              <w:bottom w:val="single" w:sz="4" w:space="0" w:color="000000"/>
              <w:right w:val="single" w:sz="4" w:space="0" w:color="000000"/>
            </w:tcBorders>
          </w:tcPr>
          <w:p w:rsidR="00B52DE3" w:rsidRDefault="00DE73E3">
            <w:pPr>
              <w:spacing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5</w:t>
            </w:r>
          </w:p>
        </w:tc>
        <w:tc>
          <w:tcPr>
            <w:tcW w:w="49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20-29 лет</w:t>
            </w:r>
          </w:p>
        </w:tc>
        <w:tc>
          <w:tcPr>
            <w:tcW w:w="1840"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48</w:t>
            </w:r>
          </w:p>
        </w:tc>
        <w:tc>
          <w:tcPr>
            <w:tcW w:w="209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360" w:lineRule="auto"/>
              <w:jc w:val="center"/>
              <w:rPr>
                <w:rFonts w:ascii="Times New Roman" w:hAnsi="Times New Roman" w:cs="Times New Roman"/>
                <w:sz w:val="28"/>
                <w:szCs w:val="28"/>
              </w:rPr>
            </w:pPr>
            <w:r>
              <w:rPr>
                <w:rFonts w:ascii="Times New Roman" w:eastAsia="Times New Roman" w:hAnsi="Times New Roman" w:cs="Times New Roman"/>
                <w:sz w:val="28"/>
                <w:szCs w:val="28"/>
              </w:rPr>
              <w:t>72</w:t>
            </w:r>
          </w:p>
        </w:tc>
      </w:tr>
      <w:tr w:rsidR="00B52DE3">
        <w:trPr>
          <w:trHeight w:val="285"/>
        </w:trPr>
        <w:tc>
          <w:tcPr>
            <w:tcW w:w="669" w:type="dxa"/>
            <w:tcBorders>
              <w:top w:val="single" w:sz="4" w:space="0" w:color="000000"/>
              <w:left w:val="single" w:sz="4" w:space="0" w:color="000000"/>
              <w:bottom w:val="single" w:sz="4" w:space="0" w:color="000000"/>
              <w:right w:val="single" w:sz="4" w:space="0" w:color="000000"/>
            </w:tcBorders>
          </w:tcPr>
          <w:p w:rsidR="00B52DE3" w:rsidRDefault="00DE73E3">
            <w:pPr>
              <w:spacing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6</w:t>
            </w:r>
          </w:p>
        </w:tc>
        <w:tc>
          <w:tcPr>
            <w:tcW w:w="4968" w:type="dxa"/>
            <w:tcBorders>
              <w:top w:val="single" w:sz="4" w:space="0" w:color="000000"/>
              <w:left w:val="single" w:sz="4" w:space="0" w:color="000000"/>
              <w:bottom w:val="single" w:sz="4" w:space="0" w:color="000000"/>
              <w:right w:val="single" w:sz="4" w:space="0" w:color="000000"/>
            </w:tcBorders>
          </w:tcPr>
          <w:p w:rsidR="00B52DE3" w:rsidRDefault="00DE73E3">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30-50 лет</w:t>
            </w:r>
          </w:p>
        </w:tc>
        <w:tc>
          <w:tcPr>
            <w:tcW w:w="1840"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jc w:val="center"/>
              <w:rPr>
                <w:rFonts w:ascii="Times New Roman" w:hAnsi="Times New Roman" w:cs="Times New Roman"/>
                <w:sz w:val="28"/>
                <w:szCs w:val="28"/>
              </w:rPr>
            </w:pPr>
            <w:r>
              <w:rPr>
                <w:rFonts w:ascii="Times New Roman" w:eastAsia="Times New Roman" w:hAnsi="Times New Roman" w:cs="Times New Roman"/>
                <w:sz w:val="28"/>
                <w:szCs w:val="28"/>
              </w:rPr>
              <w:t>24</w:t>
            </w:r>
          </w:p>
        </w:tc>
        <w:tc>
          <w:tcPr>
            <w:tcW w:w="2093" w:type="dxa"/>
            <w:tcBorders>
              <w:top w:val="single" w:sz="4" w:space="0" w:color="000000"/>
              <w:left w:val="single" w:sz="4" w:space="0" w:color="000000"/>
              <w:bottom w:val="single" w:sz="4" w:space="0" w:color="000000"/>
              <w:right w:val="single" w:sz="4" w:space="0" w:color="000000"/>
            </w:tcBorders>
            <w:vAlign w:val="center"/>
          </w:tcPr>
          <w:p w:rsidR="00B52DE3" w:rsidRDefault="00DE73E3">
            <w:pPr>
              <w:spacing w:after="0" w:line="360" w:lineRule="auto"/>
              <w:jc w:val="center"/>
              <w:rPr>
                <w:rFonts w:ascii="Times New Roman" w:hAnsi="Times New Roman" w:cs="Times New Roman"/>
                <w:sz w:val="28"/>
                <w:szCs w:val="28"/>
              </w:rPr>
            </w:pPr>
            <w:r>
              <w:rPr>
                <w:rFonts w:ascii="Times New Roman" w:eastAsia="Times New Roman" w:hAnsi="Times New Roman" w:cs="Times New Roman"/>
                <w:sz w:val="28"/>
                <w:szCs w:val="28"/>
              </w:rPr>
              <w:t>61</w:t>
            </w:r>
          </w:p>
        </w:tc>
      </w:tr>
    </w:tbl>
    <w:p w:rsidR="00B52DE3" w:rsidRDefault="00B52DE3">
      <w:pPr>
        <w:spacing w:line="360" w:lineRule="auto"/>
        <w:ind w:firstLine="720"/>
        <w:jc w:val="both"/>
        <w:rPr>
          <w:rFonts w:ascii="Times New Roman" w:hAnsi="Times New Roman" w:cs="Times New Roman"/>
          <w:sz w:val="28"/>
          <w:szCs w:val="28"/>
        </w:rPr>
      </w:pPr>
    </w:p>
    <w:p w:rsidR="00B52DE3" w:rsidRDefault="00DE73E3">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целях повышения качества и оперативности обслуживания, расширения видов услуг населению в сфере регистрации актов гражданского состояния в управлении ЗАГС продолжена практика предоставления </w:t>
      </w:r>
      <w:r>
        <w:rPr>
          <w:rFonts w:ascii="Times New Roman" w:eastAsia="Times New Roman" w:hAnsi="Times New Roman" w:cs="Times New Roman"/>
          <w:sz w:val="28"/>
          <w:szCs w:val="28"/>
        </w:rPr>
        <w:lastRenderedPageBreak/>
        <w:t>дополнительных услуг жителям Уссурийского городского округа Приморского края.</w:t>
      </w:r>
    </w:p>
    <w:p w:rsidR="00B52DE3" w:rsidRDefault="00DE73E3">
      <w:pPr>
        <w:tabs>
          <w:tab w:val="left" w:pos="851"/>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соответствии с паспортом государственной услуги, согласованным руководителями КГАУ «Многофункциональный центр предоставления государственных и муниципальных услуг Приморского края» и департамента ЗАГС Приморского края управлением ЗАГС  организован прием заявлений о регистрации рождения и выдаче документов о регистрации актов гражданского состояния из архива управления ЗАГС. В 2025 году в управление ЗАГС через МФЦ поступило 386 заявлений (АППГ - 336). Из них: о регистрации рождения 21 (АППГ - 40), о выдаче повторного свидетельства 279 (АППГ - 256), о выдаче справки из архива ЗАГС 86 (АППГ - 40).</w:t>
      </w:r>
    </w:p>
    <w:p w:rsidR="00B52DE3" w:rsidRDefault="00DE73E3">
      <w:pPr>
        <w:tabs>
          <w:tab w:val="left" w:pos="851"/>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связи с отсутствием у граждан возможности явиться на регистрацию брака за отчетный период управлением ЗАГС проведено 43 выездных регистрации брака (АППГ - 38).</w:t>
      </w:r>
    </w:p>
    <w:p w:rsidR="00B52DE3" w:rsidRDefault="00DE73E3">
      <w:pPr>
        <w:tabs>
          <w:tab w:val="left" w:pos="851"/>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2025 году управлением ЗАГС рассмотрено 1562 заявления, поступившие через Портал государственных услуг (АППГ - 1744). В том числе, о расторжении брака 91 (АППГ - 79), о регистрации брака 486 (АППГ - 495), о рождении через </w:t>
      </w:r>
      <w:proofErr w:type="spellStart"/>
      <w:r>
        <w:rPr>
          <w:rFonts w:ascii="Times New Roman" w:eastAsia="Times New Roman" w:hAnsi="Times New Roman" w:cs="Times New Roman"/>
          <w:sz w:val="28"/>
          <w:szCs w:val="28"/>
        </w:rPr>
        <w:t>суперсервис</w:t>
      </w:r>
      <w:proofErr w:type="spellEnd"/>
      <w:r>
        <w:rPr>
          <w:rFonts w:ascii="Times New Roman" w:eastAsia="Times New Roman" w:hAnsi="Times New Roman" w:cs="Times New Roman"/>
          <w:sz w:val="28"/>
          <w:szCs w:val="28"/>
        </w:rPr>
        <w:t xml:space="preserve"> «Рождение ребенка» </w:t>
      </w:r>
      <w:r>
        <w:rPr>
          <w:rFonts w:ascii="Times New Roman" w:eastAsia="Times New Roman" w:hAnsi="Times New Roman" w:cs="Times New Roman"/>
          <w:color w:val="000000"/>
          <w:sz w:val="28"/>
          <w:szCs w:val="28"/>
        </w:rPr>
        <w:t>841</w:t>
      </w:r>
      <w:r>
        <w:rPr>
          <w:rFonts w:ascii="Times New Roman" w:eastAsia="Times New Roman" w:hAnsi="Times New Roman" w:cs="Times New Roman"/>
          <w:sz w:val="28"/>
          <w:szCs w:val="28"/>
        </w:rPr>
        <w:t xml:space="preserve"> (АППГ - </w:t>
      </w:r>
      <w:r>
        <w:rPr>
          <w:rFonts w:ascii="Times New Roman" w:eastAsia="Times New Roman" w:hAnsi="Times New Roman" w:cs="Times New Roman"/>
          <w:color w:val="000000"/>
          <w:sz w:val="28"/>
          <w:szCs w:val="28"/>
        </w:rPr>
        <w:t>422</w:t>
      </w:r>
      <w:r>
        <w:rPr>
          <w:rFonts w:ascii="Times New Roman" w:eastAsia="Times New Roman" w:hAnsi="Times New Roman" w:cs="Times New Roman"/>
          <w:sz w:val="28"/>
          <w:szCs w:val="28"/>
        </w:rPr>
        <w:t xml:space="preserve">), о выдаче повторного свидетельства 114 (АППГ - 200), о выдаче справки из архива 30 (АППГ - 20). Увеличение количества поданных заявлений связано с открытием на Портале государственных услуг </w:t>
      </w:r>
      <w:proofErr w:type="spellStart"/>
      <w:r>
        <w:rPr>
          <w:rFonts w:ascii="Times New Roman" w:eastAsia="Times New Roman" w:hAnsi="Times New Roman" w:cs="Times New Roman"/>
          <w:sz w:val="28"/>
          <w:szCs w:val="28"/>
        </w:rPr>
        <w:t>суперсервиса</w:t>
      </w:r>
      <w:proofErr w:type="spellEnd"/>
      <w:r>
        <w:rPr>
          <w:rFonts w:ascii="Times New Roman" w:eastAsia="Times New Roman" w:hAnsi="Times New Roman" w:cs="Times New Roman"/>
          <w:sz w:val="28"/>
          <w:szCs w:val="28"/>
        </w:rPr>
        <w:t xml:space="preserve"> «Рождение ребенка». </w:t>
      </w:r>
      <w:proofErr w:type="spellStart"/>
      <w:r>
        <w:rPr>
          <w:rFonts w:ascii="Times New Roman" w:eastAsia="Times New Roman" w:hAnsi="Times New Roman" w:cs="Times New Roman"/>
          <w:sz w:val="28"/>
          <w:szCs w:val="28"/>
        </w:rPr>
        <w:t>Суперсервис</w:t>
      </w:r>
      <w:proofErr w:type="spellEnd"/>
      <w:r>
        <w:rPr>
          <w:rFonts w:ascii="Times New Roman" w:eastAsia="Times New Roman" w:hAnsi="Times New Roman" w:cs="Times New Roman"/>
          <w:sz w:val="28"/>
          <w:szCs w:val="28"/>
        </w:rPr>
        <w:t xml:space="preserve"> «Рождение ребенка» позволяет зарегистрировать рождение ребенка без личного посещения органа ЗАГС и на основании сведений об актовой записи, полученных их ЕГР ЗАГС, оформить на </w:t>
      </w:r>
      <w:proofErr w:type="spellStart"/>
      <w:r>
        <w:rPr>
          <w:rFonts w:ascii="Times New Roman" w:eastAsia="Times New Roman" w:hAnsi="Times New Roman" w:cs="Times New Roman"/>
          <w:sz w:val="28"/>
          <w:szCs w:val="28"/>
        </w:rPr>
        <w:t>госуслугах</w:t>
      </w:r>
      <w:proofErr w:type="spellEnd"/>
      <w:r>
        <w:rPr>
          <w:rFonts w:ascii="Times New Roman" w:eastAsia="Times New Roman" w:hAnsi="Times New Roman" w:cs="Times New Roman"/>
          <w:sz w:val="28"/>
          <w:szCs w:val="28"/>
        </w:rPr>
        <w:t xml:space="preserve"> СНИЛС, полис ОМС ребенка, а также материнский капитал и социальные пособия.</w:t>
      </w:r>
    </w:p>
    <w:p w:rsidR="00B52DE3" w:rsidRDefault="00DE73E3">
      <w:pPr>
        <w:tabs>
          <w:tab w:val="left" w:pos="709"/>
          <w:tab w:val="left" w:pos="851"/>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Зарегистрировано значительное количество обращений граждан по вопросам получения утраченных документов о регистрации актов </w:t>
      </w:r>
      <w:r>
        <w:rPr>
          <w:rFonts w:ascii="Times New Roman" w:eastAsia="Times New Roman" w:hAnsi="Times New Roman" w:cs="Times New Roman"/>
          <w:sz w:val="28"/>
          <w:szCs w:val="28"/>
        </w:rPr>
        <w:lastRenderedPageBreak/>
        <w:t>гражданского состояния. В основном, документы получают для перерасчета пенсий, оформления нотариальных дел, взамен утраченных либо испорченных свидетельств, установления родственных связей, истории семьи.</w:t>
      </w:r>
    </w:p>
    <w:p w:rsidR="00B52DE3" w:rsidRDefault="00DE73E3">
      <w:pPr>
        <w:tabs>
          <w:tab w:val="left" w:pos="709"/>
          <w:tab w:val="left" w:pos="851"/>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2025 году (по состоянию на 1 декабря 2025 года) выдано </w:t>
      </w:r>
      <w:r>
        <w:rPr>
          <w:rFonts w:ascii="Times New Roman" w:eastAsia="Times New Roman" w:hAnsi="Times New Roman" w:cs="Times New Roman"/>
          <w:bCs/>
          <w:sz w:val="28"/>
          <w:szCs w:val="28"/>
        </w:rPr>
        <w:t>повторных свидетельств</w:t>
      </w:r>
      <w:r>
        <w:rPr>
          <w:rFonts w:ascii="Times New Roman" w:eastAsia="Times New Roman" w:hAnsi="Times New Roman" w:cs="Times New Roman"/>
          <w:sz w:val="28"/>
          <w:szCs w:val="28"/>
        </w:rPr>
        <w:t xml:space="preserve"> о государственной регистрации актов гражданского состояния </w:t>
      </w:r>
      <w:r>
        <w:rPr>
          <w:rFonts w:ascii="Times New Roman" w:eastAsia="Times New Roman" w:hAnsi="Times New Roman" w:cs="Times New Roman"/>
          <w:color w:val="000000"/>
          <w:sz w:val="28"/>
          <w:szCs w:val="28"/>
        </w:rPr>
        <w:t xml:space="preserve">3422 </w:t>
      </w:r>
      <w:r>
        <w:rPr>
          <w:rFonts w:ascii="Times New Roman" w:eastAsia="Times New Roman" w:hAnsi="Times New Roman" w:cs="Times New Roman"/>
          <w:sz w:val="28"/>
          <w:szCs w:val="28"/>
        </w:rPr>
        <w:t xml:space="preserve">(АППГ - 3872). В том числе, о рождении </w:t>
      </w:r>
      <w:r>
        <w:rPr>
          <w:rFonts w:ascii="Times New Roman" w:eastAsia="Times New Roman" w:hAnsi="Times New Roman" w:cs="Times New Roman"/>
          <w:color w:val="000000"/>
          <w:sz w:val="28"/>
          <w:szCs w:val="28"/>
        </w:rPr>
        <w:t>1564</w:t>
      </w:r>
      <w:r>
        <w:rPr>
          <w:rFonts w:ascii="Times New Roman" w:eastAsia="Times New Roman" w:hAnsi="Times New Roman" w:cs="Times New Roman"/>
          <w:sz w:val="28"/>
          <w:szCs w:val="28"/>
        </w:rPr>
        <w:t xml:space="preserve"> (АППГ - </w:t>
      </w:r>
      <w:r>
        <w:rPr>
          <w:rFonts w:ascii="Times New Roman" w:eastAsia="Times New Roman" w:hAnsi="Times New Roman" w:cs="Times New Roman"/>
          <w:color w:val="000000"/>
          <w:sz w:val="28"/>
          <w:szCs w:val="28"/>
        </w:rPr>
        <w:t>2292</w:t>
      </w:r>
      <w:r>
        <w:rPr>
          <w:rFonts w:ascii="Times New Roman" w:eastAsia="Times New Roman" w:hAnsi="Times New Roman" w:cs="Times New Roman"/>
          <w:sz w:val="28"/>
          <w:szCs w:val="28"/>
        </w:rPr>
        <w:t xml:space="preserve">), о заключении брака </w:t>
      </w:r>
      <w:r>
        <w:rPr>
          <w:rFonts w:ascii="Times New Roman" w:eastAsia="Times New Roman" w:hAnsi="Times New Roman" w:cs="Times New Roman"/>
          <w:color w:val="000000"/>
          <w:sz w:val="28"/>
          <w:szCs w:val="28"/>
        </w:rPr>
        <w:t>430</w:t>
      </w:r>
      <w:r>
        <w:rPr>
          <w:rFonts w:ascii="Times New Roman" w:eastAsia="Times New Roman" w:hAnsi="Times New Roman" w:cs="Times New Roman"/>
          <w:sz w:val="28"/>
          <w:szCs w:val="28"/>
        </w:rPr>
        <w:t xml:space="preserve"> (АППГ - </w:t>
      </w:r>
      <w:r>
        <w:rPr>
          <w:rFonts w:ascii="Times New Roman" w:eastAsia="Times New Roman" w:hAnsi="Times New Roman" w:cs="Times New Roman"/>
          <w:color w:val="000000"/>
          <w:sz w:val="28"/>
          <w:szCs w:val="28"/>
        </w:rPr>
        <w:t>531</w:t>
      </w:r>
      <w:r>
        <w:rPr>
          <w:rFonts w:ascii="Times New Roman" w:eastAsia="Times New Roman" w:hAnsi="Times New Roman" w:cs="Times New Roman"/>
          <w:sz w:val="28"/>
          <w:szCs w:val="28"/>
        </w:rPr>
        <w:t xml:space="preserve">), о расторжении брака </w:t>
      </w:r>
      <w:r>
        <w:rPr>
          <w:rFonts w:ascii="Times New Roman" w:eastAsia="Times New Roman" w:hAnsi="Times New Roman" w:cs="Times New Roman"/>
          <w:color w:val="000000"/>
          <w:sz w:val="28"/>
          <w:szCs w:val="28"/>
        </w:rPr>
        <w:t>124</w:t>
      </w:r>
      <w:r>
        <w:rPr>
          <w:rFonts w:ascii="Times New Roman" w:eastAsia="Times New Roman" w:hAnsi="Times New Roman" w:cs="Times New Roman"/>
          <w:sz w:val="28"/>
          <w:szCs w:val="28"/>
        </w:rPr>
        <w:t xml:space="preserve"> (АППГ - </w:t>
      </w:r>
      <w:r>
        <w:rPr>
          <w:rFonts w:ascii="Times New Roman" w:eastAsia="Times New Roman" w:hAnsi="Times New Roman" w:cs="Times New Roman"/>
          <w:color w:val="000000"/>
          <w:sz w:val="28"/>
          <w:szCs w:val="28"/>
        </w:rPr>
        <w:t>108</w:t>
      </w:r>
      <w:r>
        <w:rPr>
          <w:rFonts w:ascii="Times New Roman" w:eastAsia="Times New Roman" w:hAnsi="Times New Roman" w:cs="Times New Roman"/>
          <w:sz w:val="28"/>
          <w:szCs w:val="28"/>
        </w:rPr>
        <w:t xml:space="preserve">), о смерти </w:t>
      </w:r>
      <w:r>
        <w:rPr>
          <w:rFonts w:ascii="Times New Roman" w:eastAsia="Times New Roman" w:hAnsi="Times New Roman" w:cs="Times New Roman"/>
          <w:color w:val="000000"/>
          <w:sz w:val="28"/>
          <w:szCs w:val="28"/>
        </w:rPr>
        <w:t>1258</w:t>
      </w:r>
      <w:r>
        <w:rPr>
          <w:rFonts w:ascii="Times New Roman" w:eastAsia="Times New Roman" w:hAnsi="Times New Roman" w:cs="Times New Roman"/>
          <w:sz w:val="28"/>
          <w:szCs w:val="28"/>
        </w:rPr>
        <w:t xml:space="preserve"> (АППГ - 891), об установлении отцовства </w:t>
      </w:r>
      <w:r>
        <w:rPr>
          <w:rFonts w:ascii="Times New Roman" w:eastAsia="Times New Roman" w:hAnsi="Times New Roman" w:cs="Times New Roman"/>
          <w:color w:val="000000"/>
          <w:sz w:val="28"/>
          <w:szCs w:val="28"/>
        </w:rPr>
        <w:t>35</w:t>
      </w:r>
      <w:r>
        <w:rPr>
          <w:rFonts w:ascii="Times New Roman" w:eastAsia="Times New Roman" w:hAnsi="Times New Roman" w:cs="Times New Roman"/>
          <w:sz w:val="28"/>
          <w:szCs w:val="28"/>
        </w:rPr>
        <w:t xml:space="preserve"> (АППГ - </w:t>
      </w:r>
      <w:r>
        <w:rPr>
          <w:rFonts w:ascii="Times New Roman" w:eastAsia="Times New Roman" w:hAnsi="Times New Roman" w:cs="Times New Roman"/>
          <w:color w:val="000000"/>
          <w:sz w:val="28"/>
          <w:szCs w:val="28"/>
        </w:rPr>
        <w:t>34</w:t>
      </w:r>
      <w:r>
        <w:rPr>
          <w:rFonts w:ascii="Times New Roman" w:eastAsia="Times New Roman" w:hAnsi="Times New Roman" w:cs="Times New Roman"/>
          <w:sz w:val="28"/>
          <w:szCs w:val="28"/>
        </w:rPr>
        <w:t xml:space="preserve">), о перемене имени </w:t>
      </w:r>
      <w:r>
        <w:rPr>
          <w:rFonts w:ascii="Times New Roman" w:eastAsia="Times New Roman" w:hAnsi="Times New Roman" w:cs="Times New Roman"/>
          <w:color w:val="000000"/>
          <w:sz w:val="28"/>
          <w:szCs w:val="28"/>
        </w:rPr>
        <w:t xml:space="preserve">11 </w:t>
      </w:r>
      <w:r>
        <w:rPr>
          <w:rFonts w:ascii="Times New Roman" w:eastAsia="Times New Roman" w:hAnsi="Times New Roman" w:cs="Times New Roman"/>
          <w:sz w:val="28"/>
          <w:szCs w:val="28"/>
        </w:rPr>
        <w:t xml:space="preserve">(АППГ - 16). Выдано </w:t>
      </w:r>
      <w:r>
        <w:rPr>
          <w:rFonts w:ascii="Times New Roman" w:eastAsia="Times New Roman" w:hAnsi="Times New Roman" w:cs="Times New Roman"/>
          <w:bCs/>
          <w:sz w:val="28"/>
          <w:szCs w:val="28"/>
        </w:rPr>
        <w:t xml:space="preserve">справок из архива </w:t>
      </w:r>
      <w:r>
        <w:rPr>
          <w:rFonts w:ascii="Times New Roman" w:eastAsia="Times New Roman" w:hAnsi="Times New Roman" w:cs="Times New Roman"/>
          <w:bCs/>
          <w:color w:val="000000"/>
          <w:sz w:val="28"/>
          <w:szCs w:val="28"/>
        </w:rPr>
        <w:t xml:space="preserve">1965 </w:t>
      </w:r>
      <w:r>
        <w:rPr>
          <w:rFonts w:ascii="Times New Roman" w:eastAsia="Times New Roman" w:hAnsi="Times New Roman" w:cs="Times New Roman"/>
          <w:sz w:val="28"/>
          <w:szCs w:val="28"/>
        </w:rPr>
        <w:t>(АППГ - 1817).</w:t>
      </w:r>
    </w:p>
    <w:p w:rsidR="00B52DE3" w:rsidRDefault="00DE73E3">
      <w:pPr>
        <w:spacing w:after="0" w:line="360" w:lineRule="auto"/>
        <w:ind w:firstLine="720"/>
        <w:jc w:val="both"/>
        <w:rPr>
          <w:rFonts w:ascii="Times New Roman" w:hAnsi="Times New Roman" w:cs="Times New Roman"/>
          <w:sz w:val="28"/>
          <w:szCs w:val="28"/>
        </w:rPr>
      </w:pPr>
      <w:r>
        <w:rPr>
          <w:rFonts w:ascii="Times New Roman" w:eastAsia="Times New Roman" w:hAnsi="Times New Roman" w:cs="Times New Roman"/>
          <w:sz w:val="28"/>
          <w:szCs w:val="28"/>
        </w:rPr>
        <w:t>В целях реализации государственной политики в области семейного права, подготовки молодёжи к семейной жизни, пропаганде ценностей, ориентированных на материнство и отцовство, управлением ЗАГС  администрации Уссурийского городского округа проводятся торжественные мероприятия, посвященные праздничным датам и направленные на повышение статуса семьи.</w:t>
      </w:r>
    </w:p>
    <w:p w:rsidR="00B52DE3" w:rsidRDefault="00DE73E3">
      <w:pPr>
        <w:spacing w:line="360" w:lineRule="auto"/>
        <w:ind w:firstLine="720"/>
        <w:jc w:val="both"/>
        <w:rPr>
          <w:rFonts w:ascii="Times New Roman" w:hAnsi="Times New Roman" w:cs="Times New Roman"/>
          <w:sz w:val="28"/>
          <w:szCs w:val="28"/>
        </w:rPr>
      </w:pPr>
      <w:r>
        <w:rPr>
          <w:rFonts w:ascii="Times New Roman" w:eastAsia="Times New Roman" w:hAnsi="Times New Roman" w:cs="Times New Roman"/>
          <w:sz w:val="28"/>
          <w:szCs w:val="28"/>
        </w:rPr>
        <w:t>В 2025 году в управлении ЗАГС администрации Уссурийского городского округа Приморского края проведено 88 мероприятий (АППГ - 63):</w:t>
      </w:r>
    </w:p>
    <w:tbl>
      <w:tblPr>
        <w:tblW w:w="9287" w:type="dxa"/>
        <w:tblInd w:w="-113" w:type="dxa"/>
        <w:tblLayout w:type="fixed"/>
        <w:tblLook w:val="04A0"/>
      </w:tblPr>
      <w:tblGrid>
        <w:gridCol w:w="794"/>
        <w:gridCol w:w="6034"/>
        <w:gridCol w:w="1248"/>
        <w:gridCol w:w="1211"/>
      </w:tblGrid>
      <w:tr w:rsidR="00B52DE3">
        <w:tc>
          <w:tcPr>
            <w:tcW w:w="794" w:type="dxa"/>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t>№</w:t>
            </w:r>
          </w:p>
        </w:tc>
        <w:tc>
          <w:tcPr>
            <w:tcW w:w="6033" w:type="dxa"/>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jc w:val="center"/>
              <w:rPr>
                <w:rFonts w:ascii="Times New Roman" w:hAnsi="Times New Roman" w:cs="Times New Roman"/>
                <w:sz w:val="28"/>
                <w:szCs w:val="28"/>
              </w:rPr>
            </w:pPr>
            <w:r>
              <w:rPr>
                <w:rFonts w:ascii="Times New Roman" w:eastAsia="Times New Roman" w:hAnsi="Times New Roman" w:cs="Times New Roman"/>
                <w:sz w:val="28"/>
                <w:szCs w:val="28"/>
              </w:rPr>
              <w:t>наименование мероприятий</w:t>
            </w:r>
          </w:p>
        </w:tc>
        <w:tc>
          <w:tcPr>
            <w:tcW w:w="1248" w:type="dxa"/>
            <w:tcBorders>
              <w:top w:val="single" w:sz="4" w:space="0" w:color="000000"/>
              <w:left w:val="single" w:sz="4" w:space="0" w:color="000000"/>
              <w:bottom w:val="single" w:sz="4" w:space="0" w:color="000000"/>
              <w:right w:val="single" w:sz="4" w:space="0" w:color="000000"/>
            </w:tcBorders>
            <w:vAlign w:val="center"/>
          </w:tcPr>
          <w:p w:rsidR="00B52DE3" w:rsidRDefault="00DE73E3">
            <w:pPr>
              <w:tabs>
                <w:tab w:val="left" w:pos="851"/>
              </w:tabs>
              <w:jc w:val="center"/>
              <w:rPr>
                <w:rFonts w:ascii="Times New Roman" w:hAnsi="Times New Roman" w:cs="Times New Roman"/>
                <w:sz w:val="28"/>
                <w:szCs w:val="28"/>
              </w:rPr>
            </w:pPr>
            <w:r>
              <w:rPr>
                <w:rFonts w:ascii="Times New Roman" w:eastAsia="Times New Roman" w:hAnsi="Times New Roman" w:cs="Times New Roman"/>
                <w:sz w:val="28"/>
                <w:szCs w:val="28"/>
              </w:rPr>
              <w:t>2025 год</w:t>
            </w:r>
          </w:p>
        </w:tc>
        <w:tc>
          <w:tcPr>
            <w:tcW w:w="1211" w:type="dxa"/>
            <w:tcBorders>
              <w:top w:val="single" w:sz="4" w:space="0" w:color="000000"/>
              <w:left w:val="single" w:sz="4" w:space="0" w:color="000000"/>
              <w:bottom w:val="single" w:sz="4" w:space="0" w:color="000000"/>
              <w:right w:val="single" w:sz="4" w:space="0" w:color="000000"/>
            </w:tcBorders>
            <w:vAlign w:val="center"/>
          </w:tcPr>
          <w:p w:rsidR="00B52DE3" w:rsidRDefault="00DE73E3">
            <w:pPr>
              <w:tabs>
                <w:tab w:val="left" w:pos="851"/>
              </w:tabs>
              <w:jc w:val="center"/>
              <w:rPr>
                <w:rFonts w:ascii="Times New Roman" w:hAnsi="Times New Roman" w:cs="Times New Roman"/>
                <w:sz w:val="28"/>
                <w:szCs w:val="28"/>
              </w:rPr>
            </w:pPr>
            <w:r>
              <w:rPr>
                <w:rFonts w:ascii="Times New Roman" w:eastAsia="Times New Roman" w:hAnsi="Times New Roman" w:cs="Times New Roman"/>
                <w:sz w:val="28"/>
                <w:szCs w:val="28"/>
              </w:rPr>
              <w:t>2024 год</w:t>
            </w:r>
          </w:p>
        </w:tc>
      </w:tr>
      <w:tr w:rsidR="00B52DE3">
        <w:trPr>
          <w:trHeight w:val="1034"/>
        </w:trPr>
        <w:tc>
          <w:tcPr>
            <w:tcW w:w="794" w:type="dxa"/>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t>1</w:t>
            </w:r>
          </w:p>
        </w:tc>
        <w:tc>
          <w:tcPr>
            <w:tcW w:w="6033" w:type="dxa"/>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spacing w:after="0"/>
              <w:jc w:val="both"/>
              <w:rPr>
                <w:rFonts w:ascii="Times New Roman" w:hAnsi="Times New Roman" w:cs="Times New Roman"/>
                <w:sz w:val="28"/>
                <w:szCs w:val="28"/>
              </w:rPr>
            </w:pPr>
            <w:r>
              <w:rPr>
                <w:rFonts w:ascii="Times New Roman" w:eastAsia="Times New Roman" w:hAnsi="Times New Roman" w:cs="Times New Roman"/>
                <w:sz w:val="28"/>
                <w:szCs w:val="28"/>
              </w:rPr>
              <w:t>мероприятия по чествованию «золотых», «серебряных»,  иных юбиляров семейной жизни                             («изумрудные», «жемчужные», «железные»)</w:t>
            </w:r>
          </w:p>
        </w:tc>
        <w:tc>
          <w:tcPr>
            <w:tcW w:w="1248"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22</w:t>
            </w:r>
          </w:p>
        </w:tc>
        <w:tc>
          <w:tcPr>
            <w:tcW w:w="121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33</w:t>
            </w:r>
          </w:p>
        </w:tc>
      </w:tr>
      <w:tr w:rsidR="00B52DE3">
        <w:tc>
          <w:tcPr>
            <w:tcW w:w="794" w:type="dxa"/>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t>2</w:t>
            </w:r>
          </w:p>
        </w:tc>
        <w:tc>
          <w:tcPr>
            <w:tcW w:w="6033" w:type="dxa"/>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spacing w:after="0"/>
              <w:jc w:val="both"/>
              <w:rPr>
                <w:rFonts w:ascii="Times New Roman" w:hAnsi="Times New Roman" w:cs="Times New Roman"/>
                <w:sz w:val="28"/>
                <w:szCs w:val="28"/>
              </w:rPr>
            </w:pP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имянаречение</w:t>
            </w:r>
            <w:proofErr w:type="spellEnd"/>
            <w:r>
              <w:rPr>
                <w:rFonts w:ascii="Times New Roman" w:eastAsia="Times New Roman" w:hAnsi="Times New Roman" w:cs="Times New Roman"/>
                <w:sz w:val="28"/>
                <w:szCs w:val="28"/>
              </w:rPr>
              <w:t>»</w:t>
            </w:r>
          </w:p>
        </w:tc>
        <w:tc>
          <w:tcPr>
            <w:tcW w:w="1248"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3</w:t>
            </w:r>
          </w:p>
        </w:tc>
        <w:tc>
          <w:tcPr>
            <w:tcW w:w="121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6</w:t>
            </w:r>
          </w:p>
        </w:tc>
      </w:tr>
      <w:tr w:rsidR="00B52DE3">
        <w:tc>
          <w:tcPr>
            <w:tcW w:w="794" w:type="dxa"/>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t>3</w:t>
            </w:r>
          </w:p>
        </w:tc>
        <w:tc>
          <w:tcPr>
            <w:tcW w:w="6033" w:type="dxa"/>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spacing w:after="0"/>
              <w:jc w:val="both"/>
              <w:rPr>
                <w:rFonts w:ascii="Times New Roman" w:hAnsi="Times New Roman" w:cs="Times New Roman"/>
                <w:sz w:val="28"/>
                <w:szCs w:val="28"/>
              </w:rPr>
            </w:pPr>
            <w:r>
              <w:rPr>
                <w:rFonts w:ascii="Times New Roman" w:eastAsia="Times New Roman" w:hAnsi="Times New Roman" w:cs="Times New Roman"/>
                <w:sz w:val="28"/>
                <w:szCs w:val="28"/>
              </w:rPr>
              <w:t>участие в городских мероприятиях, приуроченных к праздникам (Дню семьи, любви и верности, Дню города)</w:t>
            </w:r>
          </w:p>
        </w:tc>
        <w:tc>
          <w:tcPr>
            <w:tcW w:w="1248"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11</w:t>
            </w:r>
          </w:p>
        </w:tc>
        <w:tc>
          <w:tcPr>
            <w:tcW w:w="121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w:t>
            </w:r>
          </w:p>
        </w:tc>
      </w:tr>
      <w:tr w:rsidR="00B52DE3">
        <w:tc>
          <w:tcPr>
            <w:tcW w:w="794" w:type="dxa"/>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4</w:t>
            </w:r>
          </w:p>
        </w:tc>
        <w:tc>
          <w:tcPr>
            <w:tcW w:w="6033" w:type="dxa"/>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spacing w:after="0"/>
              <w:jc w:val="both"/>
              <w:rPr>
                <w:rFonts w:ascii="Times New Roman" w:hAnsi="Times New Roman" w:cs="Times New Roman"/>
                <w:sz w:val="28"/>
                <w:szCs w:val="28"/>
              </w:rPr>
            </w:pPr>
            <w:r>
              <w:rPr>
                <w:rFonts w:ascii="Times New Roman" w:eastAsia="Times New Roman" w:hAnsi="Times New Roman" w:cs="Times New Roman"/>
                <w:sz w:val="28"/>
                <w:szCs w:val="28"/>
              </w:rPr>
              <w:t>иные мероприятия</w:t>
            </w:r>
          </w:p>
        </w:tc>
        <w:tc>
          <w:tcPr>
            <w:tcW w:w="1248"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52</w:t>
            </w:r>
          </w:p>
        </w:tc>
        <w:tc>
          <w:tcPr>
            <w:tcW w:w="121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22</w:t>
            </w:r>
          </w:p>
        </w:tc>
      </w:tr>
      <w:tr w:rsidR="00B52DE3">
        <w:tc>
          <w:tcPr>
            <w:tcW w:w="6827" w:type="dxa"/>
            <w:gridSpan w:val="2"/>
            <w:tcBorders>
              <w:top w:val="single" w:sz="4" w:space="0" w:color="000000"/>
              <w:left w:val="single" w:sz="4" w:space="0" w:color="000000"/>
              <w:bottom w:val="single" w:sz="4" w:space="0" w:color="000000"/>
              <w:right w:val="single" w:sz="4" w:space="0" w:color="000000"/>
            </w:tcBorders>
          </w:tcPr>
          <w:p w:rsidR="00B52DE3" w:rsidRDefault="00DE73E3">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t xml:space="preserve">        всего</w:t>
            </w:r>
          </w:p>
        </w:tc>
        <w:tc>
          <w:tcPr>
            <w:tcW w:w="1248" w:type="dxa"/>
            <w:tcBorders>
              <w:top w:val="single" w:sz="4" w:space="0" w:color="000000"/>
              <w:left w:val="single" w:sz="4" w:space="0" w:color="000000"/>
              <w:bottom w:val="single" w:sz="4" w:space="0" w:color="000000"/>
              <w:right w:val="single" w:sz="4" w:space="0" w:color="000000"/>
            </w:tcBorders>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88</w:t>
            </w:r>
          </w:p>
        </w:tc>
        <w:tc>
          <w:tcPr>
            <w:tcW w:w="1211" w:type="dxa"/>
            <w:tcBorders>
              <w:top w:val="single" w:sz="4" w:space="0" w:color="000000"/>
              <w:left w:val="single" w:sz="4" w:space="0" w:color="000000"/>
              <w:bottom w:val="single" w:sz="4" w:space="0" w:color="000000"/>
              <w:right w:val="single" w:sz="4" w:space="0" w:color="000000"/>
            </w:tcBorders>
            <w:vAlign w:val="center"/>
          </w:tcPr>
          <w:p w:rsidR="00B52DE3" w:rsidRDefault="00DE73E3">
            <w:pPr>
              <w:jc w:val="center"/>
              <w:rPr>
                <w:rFonts w:ascii="Times New Roman" w:hAnsi="Times New Roman" w:cs="Times New Roman"/>
                <w:sz w:val="28"/>
                <w:szCs w:val="28"/>
              </w:rPr>
            </w:pPr>
            <w:r>
              <w:rPr>
                <w:rFonts w:ascii="Times New Roman" w:eastAsia="Times New Roman" w:hAnsi="Times New Roman" w:cs="Times New Roman"/>
                <w:sz w:val="28"/>
                <w:szCs w:val="28"/>
              </w:rPr>
              <w:t>63</w:t>
            </w:r>
          </w:p>
        </w:tc>
      </w:tr>
    </w:tbl>
    <w:p w:rsidR="00B52DE3" w:rsidRDefault="00DE73E3">
      <w:pPr>
        <w:tabs>
          <w:tab w:val="left" w:pos="851"/>
        </w:tabs>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B52DE3" w:rsidRDefault="00DE73E3">
      <w:pPr>
        <w:tabs>
          <w:tab w:val="left" w:pos="851"/>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Управлением ЗАГС осуществляется взаимодействие  со средствами массовой информации. Всего в 2025 году размещено 50 выступлений в СМИ, в том числе на радио и телевидении (в программе «Телемикс»), информационное агентство «</w:t>
      </w:r>
      <w:r>
        <w:rPr>
          <w:rFonts w:ascii="Times New Roman" w:eastAsia="Times New Roman" w:hAnsi="Times New Roman" w:cs="Times New Roman"/>
          <w:sz w:val="28"/>
          <w:szCs w:val="28"/>
          <w:lang w:val="en-US"/>
        </w:rPr>
        <w:t>Ussurmedia</w:t>
      </w:r>
      <w:r>
        <w:rPr>
          <w:rFonts w:ascii="Times New Roman" w:eastAsia="Times New Roman" w:hAnsi="Times New Roman" w:cs="Times New Roman"/>
          <w:sz w:val="28"/>
          <w:szCs w:val="28"/>
        </w:rPr>
        <w:t>», в газетах «Уссурийские новости», «Новая пресса», каталоге «</w:t>
      </w:r>
      <w:proofErr w:type="spellStart"/>
      <w:r>
        <w:rPr>
          <w:rFonts w:ascii="Times New Roman" w:eastAsia="Times New Roman" w:hAnsi="Times New Roman" w:cs="Times New Roman"/>
          <w:sz w:val="28"/>
          <w:szCs w:val="28"/>
        </w:rPr>
        <w:t>Свадьба.Приморье</w:t>
      </w:r>
      <w:proofErr w:type="spellEnd"/>
      <w:r>
        <w:rPr>
          <w:rFonts w:ascii="Times New Roman" w:eastAsia="Times New Roman" w:hAnsi="Times New Roman" w:cs="Times New Roman"/>
          <w:sz w:val="28"/>
          <w:szCs w:val="28"/>
        </w:rPr>
        <w:t>».</w:t>
      </w:r>
    </w:p>
    <w:p w:rsidR="00B52DE3" w:rsidRDefault="00DE73E3">
      <w:pPr>
        <w:tabs>
          <w:tab w:val="left" w:pos="851"/>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целях повышения профессионального уровня специалистов  управления ЗАГС еженедельно проводятся занятия по изучению новых нормативных правовых актов. На них рассматриваются наиболее сложные вопросы, возникающие в ходе приёма граждан.</w:t>
      </w:r>
    </w:p>
    <w:p w:rsidR="00B52DE3" w:rsidRDefault="00DE73E3">
      <w:pPr>
        <w:pStyle w:val="2f6"/>
        <w:keepNext w:val="0"/>
        <w:ind w:left="0"/>
      </w:pPr>
      <w:bookmarkStart w:id="164" w:name="_Toc150"/>
      <w:r>
        <w:t>Работа административной комиссии</w:t>
      </w:r>
      <w:bookmarkEnd w:id="164"/>
    </w:p>
    <w:p w:rsidR="00B52DE3" w:rsidRDefault="00B52DE3">
      <w:pPr>
        <w:spacing w:after="0" w:line="360" w:lineRule="auto"/>
        <w:ind w:firstLine="709"/>
        <w:jc w:val="both"/>
        <w:rPr>
          <w:rFonts w:ascii="Times New Roman" w:hAnsi="Times New Roman" w:cs="Times New Roman"/>
          <w:sz w:val="28"/>
          <w:szCs w:val="28"/>
        </w:rPr>
      </w:pPr>
    </w:p>
    <w:p w:rsidR="00B52DE3" w:rsidRDefault="00DE73E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Административной комиссией Уссурийского городского округа            за период с 01 января по 31 декабря 2025 года проведено 24 заседания по рассмотрению дел об административных правонарушениях.</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За 2025 год в адрес административной комиссии поступили                       2235 материалов об административных правонарушениях. Из них по                   2030 материалам были возбуждены дела об административных правонарушениях, по 205 материалам вынесены определения об отказе в возбуждении дел об административных правонарушениях.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отношении индивидуальных предпринимателей, юридических лиц, должностных лиц рассмотрены 383 административных дела, в отношении физических лиц рассмотрены 1647 административных дел.</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Наложено административных штрафов на сумму 7800 тыс. рублей</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взыскано административных штрафов на сумму 5240 тыс. рублей (из них: 4100 тыс. рублей - в местный бюджет, 1140 - в краевой бюджет).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Для принудительного взыскания наложенных штрафов в отдел судебных приставов по Уссурийскому городскому округу направлено                  799 исполнительных документов на общую сумму 3420 тыс. рублей (задолженность за 2023-2025 годы).</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течение 2025 года, помимо мероприятий, направленных на осуществление ежедневного контроля за соблюдением Правил благоустройства и содержания территории Уссурийского городского округа и требований Закона Приморского края от 05 марта 2007 года № 44-КЗ                             «Об административных правонарушениях в Приморском крае», отдельное внимание было уделено мероприятиям, направленным на профилактику соблюдения гражданами и организациями Уссурийского городского округа требований пожарной безопасности в весенне-осенний период (своевременный покос сухой травы, уборка легковоспламеняющихся предметов, запрет на разведение костров), контролю за своевременным проведением организациями различных видов деятельности (управляющие организации, объекты потребительского рынка и т.д.) мероприятий по очистке закрепленных объектов и территорий от снега и наледи во избежание получения травм жителями округа в зимний период, а также контрою за соблюдением гражданами запрета выхода (выезда) на лед водных объектов, расположенных в черте Уссурийского городского округа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указанные периоды, ежедневно не менее 14 (5 - город, 9 - села) мониторинговых групп в составе членов административной комиссии, в том числе совместно с сотрудниками ОМВД, МЧС, прокуратуры, проверяли соблюдение гражданами и организациями требований пожарной безопасности, а также своевременное проведение мероприятий по очистке закрепленных территорий от снега и наледи на территории Уссурийского городского округа (зима - весна 2025 года). </w:t>
      </w:r>
      <w:r>
        <w:rPr>
          <w:rFonts w:ascii="Times New Roman" w:eastAsia="Times New Roman" w:hAnsi="Times New Roman" w:cs="Times New Roman"/>
          <w:color w:val="FF0000"/>
          <w:sz w:val="28"/>
          <w:szCs w:val="28"/>
        </w:rPr>
        <w:t xml:space="preserve"> </w:t>
      </w:r>
    </w:p>
    <w:p w:rsidR="00B52DE3" w:rsidRDefault="00B52DE3">
      <w:pPr>
        <w:spacing w:after="0" w:line="240" w:lineRule="auto"/>
        <w:ind w:firstLine="709"/>
        <w:jc w:val="center"/>
        <w:rPr>
          <w:rFonts w:ascii="Times New Roman" w:hAnsi="Times New Roman" w:cs="Times New Roman"/>
          <w:sz w:val="28"/>
          <w:szCs w:val="28"/>
        </w:rPr>
      </w:pPr>
    </w:p>
    <w:p w:rsidR="00B52DE3" w:rsidRDefault="00DE73E3">
      <w:pPr>
        <w:widowControl w:val="0"/>
        <w:spacing w:after="0" w:line="240" w:lineRule="auto"/>
        <w:ind w:firstLine="709"/>
        <w:jc w:val="center"/>
        <w:rPr>
          <w:rFonts w:ascii="Times New Roman" w:hAnsi="Times New Roman" w:cs="Times New Roman"/>
          <w:sz w:val="28"/>
          <w:szCs w:val="28"/>
        </w:rPr>
      </w:pPr>
      <w:r>
        <w:rPr>
          <w:rFonts w:ascii="Times New Roman" w:eastAsia="Times New Roman" w:hAnsi="Times New Roman" w:cs="Times New Roman"/>
          <w:b/>
          <w:bCs/>
          <w:sz w:val="28"/>
          <w:szCs w:val="28"/>
        </w:rPr>
        <w:t xml:space="preserve">Количество рейдовых мероприятий, проведенных членами административной комиссии, в том числе, совместно с сотрудниками </w:t>
      </w:r>
      <w:r>
        <w:rPr>
          <w:rFonts w:ascii="Times New Roman" w:eastAsia="Times New Roman" w:hAnsi="Times New Roman" w:cs="Times New Roman"/>
          <w:b/>
          <w:bCs/>
          <w:sz w:val="28"/>
          <w:szCs w:val="28"/>
        </w:rPr>
        <w:lastRenderedPageBreak/>
        <w:t>ОМВД, МЧС, прокуратуры в 2024 году</w:t>
      </w:r>
    </w:p>
    <w:p w:rsidR="00B52DE3" w:rsidRDefault="00B52DE3">
      <w:pPr>
        <w:widowControl w:val="0"/>
        <w:spacing w:after="0" w:line="240" w:lineRule="auto"/>
        <w:ind w:firstLine="709"/>
        <w:jc w:val="center"/>
        <w:rPr>
          <w:rFonts w:ascii="Times New Roman" w:hAnsi="Times New Roman" w:cs="Times New Roman"/>
          <w:b/>
          <w:bCs/>
          <w:sz w:val="28"/>
          <w:szCs w:val="28"/>
        </w:rPr>
      </w:pPr>
    </w:p>
    <w:tbl>
      <w:tblPr>
        <w:tblpPr w:leftFromText="180" w:rightFromText="180" w:bottomFromText="200" w:vertAnchor="text" w:horzAnchor="margin" w:tblpXSpec="center" w:tblpY="144"/>
        <w:tblW w:w="9216" w:type="dxa"/>
        <w:jc w:val="center"/>
        <w:tblLayout w:type="fixed"/>
        <w:tblLook w:val="04A0"/>
      </w:tblPr>
      <w:tblGrid>
        <w:gridCol w:w="1101"/>
        <w:gridCol w:w="5952"/>
        <w:gridCol w:w="2163"/>
      </w:tblGrid>
      <w:tr w:rsidR="00B52DE3">
        <w:trPr>
          <w:jc w:val="center"/>
        </w:trPr>
        <w:tc>
          <w:tcPr>
            <w:tcW w:w="1101" w:type="dxa"/>
            <w:tcBorders>
              <w:top w:val="single" w:sz="4" w:space="0" w:color="000000"/>
              <w:left w:val="single" w:sz="4" w:space="0" w:color="000000"/>
              <w:bottom w:val="single" w:sz="4" w:space="0" w:color="000000"/>
              <w:right w:val="single" w:sz="4" w:space="0" w:color="000000"/>
            </w:tcBorders>
          </w:tcPr>
          <w:p w:rsidR="00B52DE3" w:rsidRDefault="00B52DE3">
            <w:pPr>
              <w:tabs>
                <w:tab w:val="center" w:pos="4677"/>
              </w:tabs>
              <w:spacing w:after="0" w:line="240" w:lineRule="auto"/>
              <w:jc w:val="both"/>
              <w:rPr>
                <w:rFonts w:ascii="Times New Roman" w:hAnsi="Times New Roman" w:cs="Times New Roman"/>
                <w:sz w:val="26"/>
                <w:szCs w:val="26"/>
                <w:highlight w:val="white"/>
                <w:shd w:val="clear" w:color="auto" w:fill="FFD8CE"/>
              </w:rPr>
            </w:pPr>
          </w:p>
        </w:tc>
        <w:tc>
          <w:tcPr>
            <w:tcW w:w="5952"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Выполняемые мероприятия</w:t>
            </w:r>
          </w:p>
        </w:tc>
        <w:tc>
          <w:tcPr>
            <w:tcW w:w="216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Количество</w:t>
            </w:r>
          </w:p>
        </w:tc>
      </w:tr>
      <w:tr w:rsidR="00B52DE3">
        <w:trPr>
          <w:jc w:val="center"/>
        </w:trPr>
        <w:tc>
          <w:tcPr>
            <w:tcW w:w="1101"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1</w:t>
            </w:r>
          </w:p>
        </w:tc>
        <w:tc>
          <w:tcPr>
            <w:tcW w:w="5952"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2</w:t>
            </w:r>
          </w:p>
        </w:tc>
        <w:tc>
          <w:tcPr>
            <w:tcW w:w="216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3</w:t>
            </w:r>
          </w:p>
        </w:tc>
      </w:tr>
      <w:tr w:rsidR="00B52DE3">
        <w:trPr>
          <w:jc w:val="center"/>
        </w:trPr>
        <w:tc>
          <w:tcPr>
            <w:tcW w:w="1101"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1.</w:t>
            </w:r>
          </w:p>
        </w:tc>
        <w:tc>
          <w:tcPr>
            <w:tcW w:w="5952"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Рейдовые мероприятия, проведенные самостоятельно членами административной комиссии</w:t>
            </w:r>
          </w:p>
        </w:tc>
        <w:tc>
          <w:tcPr>
            <w:tcW w:w="2163" w:type="dxa"/>
            <w:tcBorders>
              <w:top w:val="single" w:sz="4" w:space="0" w:color="000000"/>
              <w:left w:val="single" w:sz="4" w:space="0" w:color="000000"/>
              <w:bottom w:val="single" w:sz="4" w:space="0" w:color="000000"/>
              <w:right w:val="single" w:sz="4" w:space="0" w:color="000000"/>
            </w:tcBorders>
            <w:vAlign w:val="center"/>
          </w:tcPr>
          <w:p w:rsidR="00B52DE3" w:rsidRDefault="00DE73E3">
            <w:pPr>
              <w:tabs>
                <w:tab w:val="center" w:pos="4677"/>
              </w:tabs>
              <w:spacing w:after="0" w:line="240" w:lineRule="auto"/>
              <w:jc w:val="center"/>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 xml:space="preserve"> 970</w:t>
            </w:r>
          </w:p>
        </w:tc>
      </w:tr>
      <w:tr w:rsidR="00B52DE3">
        <w:trPr>
          <w:jc w:val="center"/>
        </w:trPr>
        <w:tc>
          <w:tcPr>
            <w:tcW w:w="1101"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2.</w:t>
            </w:r>
          </w:p>
        </w:tc>
        <w:tc>
          <w:tcPr>
            <w:tcW w:w="5952"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Рейдовые мероприятия, проведенные совместно с сотрудниками ОМВД, МЧС, прокуратуры</w:t>
            </w:r>
          </w:p>
        </w:tc>
        <w:tc>
          <w:tcPr>
            <w:tcW w:w="2163" w:type="dxa"/>
            <w:tcBorders>
              <w:top w:val="single" w:sz="4" w:space="0" w:color="000000"/>
              <w:left w:val="single" w:sz="4" w:space="0" w:color="000000"/>
              <w:bottom w:val="single" w:sz="4" w:space="0" w:color="000000"/>
              <w:right w:val="single" w:sz="4" w:space="0" w:color="000000"/>
            </w:tcBorders>
            <w:vAlign w:val="center"/>
          </w:tcPr>
          <w:p w:rsidR="00B52DE3" w:rsidRDefault="00DE73E3">
            <w:pPr>
              <w:tabs>
                <w:tab w:val="center" w:pos="4677"/>
              </w:tabs>
              <w:spacing w:after="0" w:line="240" w:lineRule="auto"/>
              <w:jc w:val="center"/>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 xml:space="preserve">  95</w:t>
            </w:r>
          </w:p>
        </w:tc>
      </w:tr>
      <w:tr w:rsidR="00B52DE3">
        <w:trPr>
          <w:jc w:val="center"/>
        </w:trPr>
        <w:tc>
          <w:tcPr>
            <w:tcW w:w="1101" w:type="dxa"/>
            <w:tcBorders>
              <w:top w:val="single" w:sz="4" w:space="0" w:color="000000"/>
              <w:left w:val="single" w:sz="4" w:space="0" w:color="000000"/>
              <w:bottom w:val="single" w:sz="4" w:space="0" w:color="000000"/>
              <w:right w:val="single" w:sz="4" w:space="0" w:color="000000"/>
            </w:tcBorders>
          </w:tcPr>
          <w:p w:rsidR="00B52DE3" w:rsidRDefault="00B52DE3">
            <w:pPr>
              <w:tabs>
                <w:tab w:val="center" w:pos="4677"/>
              </w:tabs>
              <w:spacing w:after="0" w:line="240" w:lineRule="auto"/>
              <w:rPr>
                <w:rFonts w:ascii="Times New Roman" w:hAnsi="Times New Roman" w:cs="Times New Roman"/>
                <w:sz w:val="26"/>
                <w:szCs w:val="26"/>
                <w:highlight w:val="white"/>
                <w:shd w:val="clear" w:color="auto" w:fill="FFD8CE"/>
              </w:rPr>
            </w:pPr>
          </w:p>
        </w:tc>
        <w:tc>
          <w:tcPr>
            <w:tcW w:w="5952"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Итого за 2025 год:</w:t>
            </w:r>
          </w:p>
        </w:tc>
        <w:tc>
          <w:tcPr>
            <w:tcW w:w="216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highlight w:val="white"/>
                <w:shd w:val="clear" w:color="auto" w:fill="FFD8CE"/>
              </w:rPr>
            </w:pPr>
            <w:r>
              <w:rPr>
                <w:rFonts w:ascii="Times New Roman" w:eastAsia="Times New Roman" w:hAnsi="Times New Roman" w:cs="Times New Roman"/>
                <w:sz w:val="26"/>
                <w:szCs w:val="26"/>
                <w:highlight w:val="white"/>
                <w:shd w:val="clear" w:color="auto" w:fill="FFD8CE"/>
              </w:rPr>
              <w:t xml:space="preserve">  1065</w:t>
            </w:r>
          </w:p>
        </w:tc>
      </w:tr>
    </w:tbl>
    <w:p w:rsidR="00B52DE3" w:rsidRDefault="00DE73E3">
      <w:pPr>
        <w:tabs>
          <w:tab w:val="center" w:pos="4677"/>
        </w:tabs>
        <w:spacing w:after="0" w:line="360" w:lineRule="auto"/>
        <w:ind w:firstLine="709"/>
        <w:jc w:val="both"/>
        <w:rPr>
          <w:rFonts w:ascii="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Наибольшее количество дел рассмотрено: </w:t>
      </w:r>
    </w:p>
    <w:p w:rsidR="00B52DE3" w:rsidRDefault="00DE73E3">
      <w:pPr>
        <w:tabs>
          <w:tab w:val="center" w:pos="709"/>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по статье 7.21 «Нарушение иных норм и правил в сфере благоустройства, установленных муниципальными правовыми актами» –                1350 дел;</w:t>
      </w:r>
    </w:p>
    <w:p w:rsidR="00B52DE3" w:rsidRDefault="00DE73E3">
      <w:pPr>
        <w:tabs>
          <w:tab w:val="center" w:pos="4677"/>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по статье 3.9 Закона Приморского края от 05 марта 2007 № 44-КЗ                «Об административных правонарушениях в Приморском крае» «Нарушение тишины и покоя граждан» – 451 дело;  </w:t>
      </w:r>
    </w:p>
    <w:p w:rsidR="00B52DE3" w:rsidRDefault="00DE73E3">
      <w:pPr>
        <w:tabs>
          <w:tab w:val="center" w:pos="709"/>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по статье 9.1 «Осуществление торговой деятельности на территории общего пользования вне торговых объектов» – 117 дел.</w:t>
      </w:r>
    </w:p>
    <w:p w:rsidR="00B52DE3" w:rsidRDefault="00B52DE3">
      <w:pPr>
        <w:widowControl w:val="0"/>
        <w:tabs>
          <w:tab w:val="center" w:pos="709"/>
        </w:tabs>
        <w:spacing w:after="0" w:line="360" w:lineRule="auto"/>
        <w:jc w:val="both"/>
        <w:rPr>
          <w:rFonts w:ascii="Times New Roman" w:hAnsi="Times New Roman" w:cs="Times New Roman"/>
          <w:sz w:val="28"/>
          <w:szCs w:val="28"/>
        </w:rPr>
      </w:pPr>
    </w:p>
    <w:p w:rsidR="00B52DE3" w:rsidRDefault="00DE73E3">
      <w:pPr>
        <w:widowControl w:val="0"/>
        <w:spacing w:after="0" w:line="240" w:lineRule="auto"/>
        <w:ind w:firstLine="709"/>
        <w:jc w:val="center"/>
        <w:rPr>
          <w:rFonts w:ascii="Times New Roman" w:hAnsi="Times New Roman" w:cs="Times New Roman"/>
          <w:sz w:val="28"/>
          <w:szCs w:val="28"/>
        </w:rPr>
      </w:pPr>
      <w:r>
        <w:rPr>
          <w:rFonts w:ascii="Times New Roman" w:eastAsia="Times New Roman" w:hAnsi="Times New Roman" w:cs="Times New Roman"/>
          <w:b/>
          <w:bCs/>
          <w:sz w:val="28"/>
          <w:szCs w:val="28"/>
        </w:rPr>
        <w:t xml:space="preserve">Административные правонарушения, рассмотренные по статьям Закона Приморского края от 05 марта 2007 № 44-КЗ «Об административных правонарушениях в Приморском крае», административной комиссией Уссурийского городского округа                        в 2025 году: </w:t>
      </w:r>
    </w:p>
    <w:p w:rsidR="00B52DE3" w:rsidRDefault="00B52DE3">
      <w:pPr>
        <w:widowControl w:val="0"/>
        <w:spacing w:after="0" w:line="240" w:lineRule="auto"/>
        <w:ind w:firstLine="709"/>
        <w:jc w:val="center"/>
        <w:rPr>
          <w:rFonts w:ascii="Times New Roman" w:hAnsi="Times New Roman" w:cs="Times New Roman"/>
          <w:sz w:val="28"/>
          <w:szCs w:val="28"/>
        </w:rPr>
      </w:pPr>
    </w:p>
    <w:tbl>
      <w:tblPr>
        <w:tblW w:w="9214" w:type="dxa"/>
        <w:tblInd w:w="-4" w:type="dxa"/>
        <w:tblLayout w:type="fixed"/>
        <w:tblLook w:val="04A0"/>
      </w:tblPr>
      <w:tblGrid>
        <w:gridCol w:w="1134"/>
        <w:gridCol w:w="7083"/>
        <w:gridCol w:w="997"/>
      </w:tblGrid>
      <w:tr w:rsidR="00B52DE3">
        <w:trPr>
          <w:trHeight w:val="598"/>
        </w:trPr>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w:t>
            </w:r>
            <w:proofErr w:type="spellEnd"/>
            <w:r>
              <w:rPr>
                <w:rFonts w:ascii="Times New Roman" w:eastAsia="Times New Roman" w:hAnsi="Times New Roman" w:cs="Times New Roman"/>
                <w:sz w:val="28"/>
                <w:szCs w:val="28"/>
                <w:lang w:val="en-US"/>
              </w:rPr>
              <w:t>атьи</w:t>
            </w:r>
          </w:p>
        </w:tc>
        <w:tc>
          <w:tcPr>
            <w:tcW w:w="708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Название статьи</w:t>
            </w: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lang w:val="en-US"/>
              </w:rPr>
              <w:t>К</w:t>
            </w:r>
            <w:proofErr w:type="spellStart"/>
            <w:r>
              <w:rPr>
                <w:rFonts w:ascii="Times New Roman" w:eastAsia="Times New Roman" w:hAnsi="Times New Roman" w:cs="Times New Roman"/>
                <w:sz w:val="28"/>
                <w:szCs w:val="28"/>
              </w:rPr>
              <w:t>ол-во</w:t>
            </w:r>
            <w:proofErr w:type="spellEnd"/>
          </w:p>
        </w:tc>
      </w:tr>
      <w:tr w:rsidR="00B52DE3">
        <w:trPr>
          <w:trHeight w:val="598"/>
        </w:trPr>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3.9</w:t>
            </w:r>
          </w:p>
        </w:tc>
        <w:tc>
          <w:tcPr>
            <w:tcW w:w="708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Нарушение тишины и покоя граждан</w:t>
            </w: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451</w:t>
            </w:r>
          </w:p>
        </w:tc>
      </w:tr>
      <w:tr w:rsidR="00B52DE3">
        <w:trPr>
          <w:trHeight w:val="598"/>
        </w:trPr>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3.12</w:t>
            </w:r>
          </w:p>
        </w:tc>
        <w:tc>
          <w:tcPr>
            <w:tcW w:w="708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Нарушение правил охраны жизни людей на водных объектах</w:t>
            </w: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7</w:t>
            </w:r>
          </w:p>
        </w:tc>
      </w:tr>
      <w:tr w:rsidR="00B52DE3">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3.14</w:t>
            </w:r>
          </w:p>
        </w:tc>
        <w:tc>
          <w:tcPr>
            <w:tcW w:w="708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Нарушение правил нахождения домашних животных в общественных местах</w:t>
            </w: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85</w:t>
            </w:r>
          </w:p>
        </w:tc>
      </w:tr>
      <w:tr w:rsidR="00B52DE3">
        <w:trPr>
          <w:trHeight w:val="252"/>
        </w:trPr>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4.7</w:t>
            </w:r>
          </w:p>
        </w:tc>
        <w:tc>
          <w:tcPr>
            <w:tcW w:w="708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Нарушение порядка заготовки пищевых лесных ресурсов и сбора лекарственных растений, заготовки и сбора </w:t>
            </w:r>
            <w:proofErr w:type="spellStart"/>
            <w:r>
              <w:rPr>
                <w:rFonts w:ascii="Times New Roman" w:eastAsia="Times New Roman" w:hAnsi="Times New Roman" w:cs="Times New Roman"/>
                <w:sz w:val="28"/>
                <w:szCs w:val="28"/>
              </w:rPr>
              <w:t>недревесных</w:t>
            </w:r>
            <w:proofErr w:type="spellEnd"/>
            <w:r>
              <w:rPr>
                <w:rFonts w:ascii="Times New Roman" w:eastAsia="Times New Roman" w:hAnsi="Times New Roman" w:cs="Times New Roman"/>
                <w:sz w:val="28"/>
                <w:szCs w:val="28"/>
              </w:rPr>
              <w:t xml:space="preserve"> лесных ресурсов гражданами для </w:t>
            </w:r>
            <w:r>
              <w:rPr>
                <w:rFonts w:ascii="Times New Roman" w:eastAsia="Times New Roman" w:hAnsi="Times New Roman" w:cs="Times New Roman"/>
                <w:sz w:val="28"/>
                <w:szCs w:val="28"/>
              </w:rPr>
              <w:lastRenderedPageBreak/>
              <w:t>собственных нужд (кедровый орех)</w:t>
            </w: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6</w:t>
            </w:r>
          </w:p>
        </w:tc>
      </w:tr>
      <w:tr w:rsidR="00B52DE3">
        <w:trPr>
          <w:trHeight w:val="713"/>
        </w:trPr>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lastRenderedPageBreak/>
              <w:t>7.17(1)</w:t>
            </w:r>
          </w:p>
        </w:tc>
        <w:tc>
          <w:tcPr>
            <w:tcW w:w="708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Нарушения в сфере содержания мест накопления твердых коммунальных отходов (парковка у контейнерных площадок)</w:t>
            </w: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7</w:t>
            </w:r>
          </w:p>
        </w:tc>
      </w:tr>
      <w:tr w:rsidR="00B52DE3">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7.21</w:t>
            </w:r>
          </w:p>
        </w:tc>
        <w:tc>
          <w:tcPr>
            <w:tcW w:w="708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Нарушение иных норм и правил в сфере благоустройства, установленных муниципальными правовыми актами</w:t>
            </w: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1350</w:t>
            </w:r>
          </w:p>
        </w:tc>
      </w:tr>
      <w:tr w:rsidR="00B52DE3">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7.22</w:t>
            </w:r>
          </w:p>
        </w:tc>
        <w:tc>
          <w:tcPr>
            <w:tcW w:w="708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Нарушение правил содержания систем водоснабжения, канализации, теплоснабжения</w:t>
            </w: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w:t>
            </w:r>
          </w:p>
        </w:tc>
      </w:tr>
      <w:tr w:rsidR="00B52DE3">
        <w:trPr>
          <w:trHeight w:val="401"/>
        </w:trPr>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7.25</w:t>
            </w:r>
          </w:p>
        </w:tc>
        <w:tc>
          <w:tcPr>
            <w:tcW w:w="708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Сброс мусора, иных отходов производства и потребления вне специально отведенных для этого мест</w:t>
            </w: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6</w:t>
            </w:r>
          </w:p>
        </w:tc>
      </w:tr>
      <w:tr w:rsidR="00B52DE3">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9.1</w:t>
            </w:r>
          </w:p>
        </w:tc>
        <w:tc>
          <w:tcPr>
            <w:tcW w:w="7083"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Осуществление торговой деятельности на территории общего пользования вне торговых объектов</w:t>
            </w: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117</w:t>
            </w:r>
          </w:p>
        </w:tc>
      </w:tr>
      <w:tr w:rsidR="00B52DE3">
        <w:tc>
          <w:tcPr>
            <w:tcW w:w="1134"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b/>
                <w:sz w:val="28"/>
                <w:szCs w:val="28"/>
              </w:rPr>
              <w:t>Итого:</w:t>
            </w:r>
          </w:p>
        </w:tc>
        <w:tc>
          <w:tcPr>
            <w:tcW w:w="7083" w:type="dxa"/>
            <w:tcBorders>
              <w:top w:val="single" w:sz="4" w:space="0" w:color="000000"/>
              <w:left w:val="single" w:sz="4" w:space="0" w:color="000000"/>
              <w:bottom w:val="single" w:sz="4" w:space="0" w:color="000000"/>
              <w:right w:val="single" w:sz="4" w:space="0" w:color="000000"/>
            </w:tcBorders>
          </w:tcPr>
          <w:p w:rsidR="00B52DE3" w:rsidRDefault="00B52DE3">
            <w:pPr>
              <w:tabs>
                <w:tab w:val="center" w:pos="4677"/>
              </w:tabs>
              <w:spacing w:after="0" w:line="240" w:lineRule="auto"/>
              <w:jc w:val="center"/>
              <w:rPr>
                <w:rFonts w:ascii="Times New Roman" w:hAnsi="Times New Roman" w:cs="Times New Roman"/>
                <w:b/>
                <w:sz w:val="28"/>
                <w:szCs w:val="28"/>
              </w:rPr>
            </w:pPr>
          </w:p>
        </w:tc>
        <w:tc>
          <w:tcPr>
            <w:tcW w:w="99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b/>
                <w:sz w:val="28"/>
                <w:szCs w:val="28"/>
              </w:rPr>
              <w:t>2030</w:t>
            </w:r>
          </w:p>
        </w:tc>
      </w:tr>
    </w:tbl>
    <w:p w:rsidR="00B52DE3" w:rsidRDefault="00B52DE3">
      <w:pPr>
        <w:widowControl w:val="0"/>
        <w:spacing w:after="0" w:line="240" w:lineRule="auto"/>
        <w:rPr>
          <w:rFonts w:ascii="Times New Roman" w:hAnsi="Times New Roman" w:cs="Times New Roman"/>
          <w:sz w:val="28"/>
          <w:szCs w:val="28"/>
        </w:rPr>
      </w:pPr>
    </w:p>
    <w:p w:rsidR="00B52DE3" w:rsidRDefault="00B52DE3">
      <w:pPr>
        <w:widowControl w:val="0"/>
        <w:tabs>
          <w:tab w:val="center" w:pos="709"/>
        </w:tabs>
        <w:spacing w:after="0" w:line="240" w:lineRule="auto"/>
        <w:ind w:firstLine="709"/>
        <w:jc w:val="both"/>
        <w:rPr>
          <w:rFonts w:ascii="Times New Roman" w:hAnsi="Times New Roman" w:cs="Times New Roman"/>
          <w:sz w:val="28"/>
          <w:szCs w:val="28"/>
        </w:rPr>
      </w:pPr>
    </w:p>
    <w:p w:rsidR="00B52DE3" w:rsidRDefault="00DE73E3">
      <w:pPr>
        <w:tabs>
          <w:tab w:val="center" w:pos="709"/>
        </w:tabs>
        <w:spacing w:after="0" w:line="240" w:lineRule="auto"/>
        <w:ind w:firstLine="709"/>
        <w:jc w:val="center"/>
        <w:rPr>
          <w:rFonts w:ascii="Times New Roman" w:hAnsi="Times New Roman" w:cs="Times New Roman"/>
          <w:sz w:val="28"/>
          <w:szCs w:val="28"/>
        </w:rPr>
      </w:pPr>
      <w:r>
        <w:rPr>
          <w:rFonts w:ascii="Times New Roman" w:eastAsia="Times New Roman" w:hAnsi="Times New Roman" w:cs="Times New Roman"/>
          <w:sz w:val="28"/>
          <w:szCs w:val="28"/>
        </w:rPr>
        <w:t>Количество рассмотренных административных дел, составленных на юридических, должностных лиц, ИП и физических лиц за 2025 год</w:t>
      </w:r>
    </w:p>
    <w:p w:rsidR="00B52DE3" w:rsidRDefault="00B52DE3">
      <w:pPr>
        <w:tabs>
          <w:tab w:val="center" w:pos="709"/>
        </w:tabs>
        <w:spacing w:after="0" w:line="240" w:lineRule="auto"/>
        <w:ind w:firstLine="709"/>
        <w:jc w:val="center"/>
        <w:rPr>
          <w:rFonts w:ascii="Times New Roman" w:hAnsi="Times New Roman" w:cs="Times New Roman"/>
          <w:sz w:val="28"/>
          <w:szCs w:val="28"/>
        </w:rPr>
      </w:pPr>
    </w:p>
    <w:tbl>
      <w:tblPr>
        <w:tblW w:w="9214" w:type="dxa"/>
        <w:tblInd w:w="-4" w:type="dxa"/>
        <w:tblLayout w:type="fixed"/>
        <w:tblLook w:val="04A0"/>
      </w:tblPr>
      <w:tblGrid>
        <w:gridCol w:w="2267"/>
        <w:gridCol w:w="2411"/>
        <w:gridCol w:w="2269"/>
        <w:gridCol w:w="2267"/>
      </w:tblGrid>
      <w:tr w:rsidR="00B52DE3">
        <w:tc>
          <w:tcPr>
            <w:tcW w:w="2266"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Юридические</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лица</w:t>
            </w:r>
          </w:p>
        </w:tc>
        <w:tc>
          <w:tcPr>
            <w:tcW w:w="2411"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Должностные лица, ИП</w:t>
            </w:r>
          </w:p>
        </w:tc>
        <w:tc>
          <w:tcPr>
            <w:tcW w:w="2269"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Физические лица</w:t>
            </w:r>
          </w:p>
        </w:tc>
        <w:tc>
          <w:tcPr>
            <w:tcW w:w="226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Общее число</w:t>
            </w:r>
          </w:p>
        </w:tc>
      </w:tr>
      <w:tr w:rsidR="00B52DE3">
        <w:tc>
          <w:tcPr>
            <w:tcW w:w="2266"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88</w:t>
            </w:r>
          </w:p>
        </w:tc>
        <w:tc>
          <w:tcPr>
            <w:tcW w:w="2411"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295</w:t>
            </w:r>
          </w:p>
        </w:tc>
        <w:tc>
          <w:tcPr>
            <w:tcW w:w="2269"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1647</w:t>
            </w:r>
          </w:p>
        </w:tc>
        <w:tc>
          <w:tcPr>
            <w:tcW w:w="2267" w:type="dxa"/>
            <w:tcBorders>
              <w:top w:val="single" w:sz="4" w:space="0" w:color="000000"/>
              <w:left w:val="single" w:sz="4" w:space="0" w:color="000000"/>
              <w:bottom w:val="single" w:sz="4" w:space="0" w:color="000000"/>
              <w:right w:val="single" w:sz="4" w:space="0" w:color="000000"/>
            </w:tcBorders>
          </w:tcPr>
          <w:p w:rsidR="00B52DE3" w:rsidRDefault="00DE73E3">
            <w:pPr>
              <w:tabs>
                <w:tab w:val="center" w:pos="4677"/>
              </w:tabs>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2030</w:t>
            </w:r>
          </w:p>
        </w:tc>
      </w:tr>
    </w:tbl>
    <w:p w:rsidR="00B52DE3" w:rsidRDefault="00B52DE3">
      <w:pPr>
        <w:spacing w:after="0" w:line="360" w:lineRule="auto"/>
        <w:ind w:firstLine="709"/>
        <w:jc w:val="both"/>
        <w:rPr>
          <w:rFonts w:ascii="Times New Roman" w:hAnsi="Times New Roman" w:cs="Times New Roman"/>
          <w:sz w:val="28"/>
          <w:szCs w:val="28"/>
        </w:rPr>
      </w:pP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целях повышения профессионального уровня членов административной комиссии, на ежедневных </w:t>
      </w:r>
      <w:proofErr w:type="spellStart"/>
      <w:r>
        <w:rPr>
          <w:rFonts w:ascii="Times New Roman" w:eastAsia="Times New Roman" w:hAnsi="Times New Roman" w:cs="Times New Roman"/>
          <w:sz w:val="28"/>
          <w:szCs w:val="28"/>
        </w:rPr>
        <w:t>предрейдовых</w:t>
      </w:r>
      <w:proofErr w:type="spellEnd"/>
      <w:r>
        <w:rPr>
          <w:rFonts w:ascii="Times New Roman" w:eastAsia="Times New Roman" w:hAnsi="Times New Roman" w:cs="Times New Roman"/>
          <w:sz w:val="28"/>
          <w:szCs w:val="28"/>
        </w:rPr>
        <w:t xml:space="preserve"> инструктажах, а также на проводимых заседаниях административной комиссии доводится информация по изменениям законодательства, рассматриваются наиболее сложные вопросы, возникающие в ходе применения Закона Приморского края от 05 марта 2007 года № 44-КЗ «Об административных правонарушения в Приморском крае».</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pStyle w:val="2f6"/>
        <w:keepNext w:val="0"/>
        <w:spacing w:before="0"/>
        <w:ind w:left="0"/>
      </w:pPr>
      <w:bookmarkStart w:id="165" w:name="_Toc151"/>
      <w:r>
        <w:t>Содействие занятости населения</w:t>
      </w:r>
      <w:bookmarkEnd w:id="165"/>
    </w:p>
    <w:p w:rsidR="00B52DE3" w:rsidRDefault="00B52DE3">
      <w:pPr>
        <w:pStyle w:val="2f6"/>
        <w:keepNext w:val="0"/>
        <w:spacing w:before="0"/>
      </w:pPr>
    </w:p>
    <w:p w:rsidR="00B52DE3" w:rsidRDefault="00DE73E3">
      <w:pPr>
        <w:spacing w:after="0" w:line="360" w:lineRule="auto"/>
        <w:ind w:firstLine="709"/>
        <w:jc w:val="both"/>
        <w:rPr>
          <w:rFonts w:ascii="Times New Roman" w:hAnsi="Times New Roman"/>
        </w:rPr>
      </w:pPr>
      <w:r>
        <w:rPr>
          <w:rFonts w:ascii="Times New Roman" w:hAnsi="Times New Roman"/>
          <w:sz w:val="28"/>
          <w:szCs w:val="28"/>
        </w:rPr>
        <w:t>Для выполнения задачи по улучшению условий жизни населения на территории Уссурийского городского округа, сохранению стабильной ситуации на рынке труда:</w:t>
      </w:r>
    </w:p>
    <w:p w:rsidR="00B52DE3" w:rsidRDefault="00DE73E3">
      <w:pPr>
        <w:spacing w:after="0" w:line="360" w:lineRule="auto"/>
        <w:ind w:firstLine="709"/>
        <w:jc w:val="both"/>
        <w:rPr>
          <w:rFonts w:ascii="Times New Roman" w:hAnsi="Times New Roman"/>
        </w:rPr>
      </w:pPr>
      <w:r>
        <w:rPr>
          <w:rFonts w:ascii="Times New Roman" w:hAnsi="Times New Roman"/>
          <w:color w:val="000000"/>
          <w:sz w:val="28"/>
          <w:szCs w:val="28"/>
        </w:rPr>
        <w:lastRenderedPageBreak/>
        <w:t>в соответствии со статьей 50 Уголовного кодекса Российской Федераци</w:t>
      </w:r>
      <w:r>
        <w:rPr>
          <w:rFonts w:ascii="Times New Roman" w:hAnsi="Times New Roman"/>
          <w:color w:val="000000"/>
          <w:sz w:val="28"/>
          <w:szCs w:val="28"/>
          <w:highlight w:val="white"/>
        </w:rPr>
        <w:t>и в 2025 год</w:t>
      </w:r>
      <w:r>
        <w:rPr>
          <w:rFonts w:ascii="Times New Roman" w:hAnsi="Times New Roman"/>
          <w:color w:val="000000"/>
          <w:sz w:val="28"/>
          <w:szCs w:val="28"/>
        </w:rPr>
        <w:t>у для исполнения наказания в виде исправительных работ определено 8 рабочих мест</w:t>
      </w:r>
      <w:r>
        <w:rPr>
          <w:rFonts w:ascii="Times New Roman" w:hAnsi="Times New Roman"/>
          <w:sz w:val="28"/>
          <w:szCs w:val="28"/>
        </w:rPr>
        <w:t xml:space="preserve"> (АППГ – 16).</w:t>
      </w:r>
    </w:p>
    <w:p w:rsidR="00B52DE3" w:rsidRDefault="00DE73E3">
      <w:pPr>
        <w:spacing w:after="0" w:line="360" w:lineRule="auto"/>
        <w:ind w:firstLine="709"/>
        <w:jc w:val="both"/>
        <w:rPr>
          <w:rFonts w:ascii="Times New Roman" w:hAnsi="Times New Roman"/>
        </w:rPr>
      </w:pPr>
      <w:r>
        <w:rPr>
          <w:rFonts w:ascii="Times New Roman" w:hAnsi="Times New Roman"/>
          <w:sz w:val="28"/>
          <w:szCs w:val="28"/>
        </w:rPr>
        <w:t>В перечень видов обязательных работ и организаций, в которых лица, которым назначено административное наказание в виде обязательных работ, отбывают обязательные работы в Уссурийском городском округе определены 3 организации (АППГ - 0).</w:t>
      </w:r>
    </w:p>
    <w:p w:rsidR="00B52DE3" w:rsidRDefault="00DE73E3">
      <w:pPr>
        <w:spacing w:after="0" w:line="360" w:lineRule="auto"/>
        <w:ind w:firstLine="709"/>
        <w:jc w:val="both"/>
        <w:rPr>
          <w:rFonts w:ascii="Times New Roman" w:hAnsi="Times New Roman"/>
        </w:rPr>
      </w:pPr>
      <w:r>
        <w:rPr>
          <w:rFonts w:ascii="Times New Roman" w:eastAsia="Times New Roman" w:hAnsi="Times New Roman" w:cs="Times New Roman"/>
          <w:sz w:val="28"/>
          <w:szCs w:val="28"/>
        </w:rPr>
        <w:t xml:space="preserve">В 2025 году зарегистрировано 159 сообщений (АППГ – 207), полученных из ГУФСИН России о гражданах, освобождаемых из мест лишения свободы и планирующих после освобождения прибыть </w:t>
      </w:r>
      <w:r>
        <w:rPr>
          <w:rFonts w:ascii="Times New Roman" w:eastAsia="Times New Roman" w:hAnsi="Times New Roman" w:cs="Times New Roman"/>
          <w:sz w:val="28"/>
          <w:szCs w:val="28"/>
        </w:rPr>
        <w:br/>
        <w:t xml:space="preserve">на постоянное место жительства в Уссурийский городской округ. </w:t>
      </w:r>
      <w:r>
        <w:rPr>
          <w:rFonts w:ascii="Times New Roman" w:eastAsia="Times New Roman" w:hAnsi="Times New Roman" w:cs="Times New Roman"/>
          <w:sz w:val="28"/>
          <w:szCs w:val="28"/>
        </w:rPr>
        <w:br/>
        <w:t>На 72 запросов (АППГ – 167) от исправительных учреждений даны ответы.</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Проведено 4 заседания трехсторонней комиссии по регулированию социально-трудовых отношений. </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2025 году обращений в Комиссию для предоставления мер социальной поддержки как реабилитированным лицам не поступало. </w:t>
      </w:r>
    </w:p>
    <w:p w:rsidR="00B52DE3" w:rsidRDefault="004334E9">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2025 году поступило</w:t>
      </w:r>
      <w:r w:rsidR="00DE73E3">
        <w:rPr>
          <w:rFonts w:ascii="Times New Roman" w:eastAsia="Times New Roman" w:hAnsi="Times New Roman" w:cs="Times New Roman"/>
          <w:sz w:val="28"/>
          <w:szCs w:val="28"/>
        </w:rPr>
        <w:t xml:space="preserve"> три заявления в Комиссию, о включении иных периодов работы в стаж муниципальной службы для назначения пенсии за выслугу лет.</w:t>
      </w:r>
    </w:p>
    <w:p w:rsidR="00B52DE3" w:rsidRDefault="00B52DE3">
      <w:pPr>
        <w:widowControl w:val="0"/>
        <w:spacing w:after="0"/>
        <w:ind w:firstLine="709"/>
        <w:jc w:val="both"/>
        <w:rPr>
          <w:rFonts w:ascii="Times New Roman" w:hAnsi="Times New Roman" w:cs="Times New Roman"/>
          <w:sz w:val="28"/>
          <w:szCs w:val="28"/>
        </w:rPr>
      </w:pPr>
    </w:p>
    <w:p w:rsidR="00B52DE3" w:rsidRDefault="00DE73E3">
      <w:pPr>
        <w:pStyle w:val="Heading2"/>
        <w:jc w:val="center"/>
        <w:rPr>
          <w:rFonts w:ascii="Times New Roman" w:hAnsi="Times New Roman"/>
          <w:i w:val="0"/>
          <w:iCs w:val="0"/>
        </w:rPr>
      </w:pPr>
      <w:bookmarkStart w:id="166" w:name="_Toc152"/>
      <w:r>
        <w:rPr>
          <w:rFonts w:ascii="Times New Roman" w:hAnsi="Times New Roman"/>
          <w:i w:val="0"/>
          <w:iCs w:val="0"/>
          <w:color w:val="000000"/>
        </w:rPr>
        <w:t>Охрана труда на территории Уссурийского городского округа</w:t>
      </w:r>
      <w:bookmarkEnd w:id="166"/>
    </w:p>
    <w:p w:rsidR="00B52DE3" w:rsidRDefault="00B52DE3">
      <w:pPr>
        <w:widowControl w:val="0"/>
        <w:spacing w:after="0"/>
        <w:ind w:firstLine="709"/>
        <w:jc w:val="center"/>
        <w:rPr>
          <w:rFonts w:ascii="Times New Roman" w:hAnsi="Times New Roman" w:cs="Times New Roman"/>
          <w:b/>
          <w:bCs/>
          <w:sz w:val="28"/>
          <w:szCs w:val="28"/>
        </w:rPr>
      </w:pP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color w:val="000000"/>
          <w:sz w:val="28"/>
          <w:szCs w:val="28"/>
        </w:rPr>
        <w:t xml:space="preserve">В соответствии с Законом Приморского края от 07 ноября 2014 года                 № 491-КЗ «О порядке и условиях осуществления ведомственного контроля за соблюдением трудового законодательства и иных нормативных правовых актов, содержащих нормы трудового права, на территории Приморского края», постановлением администрации Уссурийского городского округа от 24 декабря 2014 года № 4926 «Об определении органов администрации Уссурийского городского округа, уполномоченных на осуществление </w:t>
      </w:r>
      <w:r>
        <w:rPr>
          <w:rFonts w:ascii="Times New Roman" w:eastAsia="Times New Roman" w:hAnsi="Times New Roman" w:cs="Times New Roman"/>
          <w:color w:val="000000"/>
          <w:sz w:val="28"/>
          <w:szCs w:val="28"/>
        </w:rPr>
        <w:lastRenderedPageBreak/>
        <w:t xml:space="preserve">ведомственного контроля за соблюдением подведомственными муниципальными организациями Уссурийского городского округа трудового законодательства и иных нормативных правовых актов, содержащих нормы трудового права», на основании утвержденного ежегодного плана проведения плановых проверок при осуществлении ведомственного контроля на 2025 год, плановые проверки соблюдения трудового законодательства проводились в </w:t>
      </w:r>
      <w:r>
        <w:rPr>
          <w:rStyle w:val="aff6"/>
          <w:rFonts w:ascii="Times New Roman" w:eastAsia="Times New Roman" w:hAnsi="Times New Roman" w:cs="Times New Roman"/>
          <w:b w:val="0"/>
          <w:bCs w:val="0"/>
          <w:color w:val="000000"/>
          <w:sz w:val="28"/>
          <w:szCs w:val="28"/>
        </w:rPr>
        <w:t xml:space="preserve">МУП «Уссурийск - Водоканал» </w:t>
      </w:r>
      <w:r>
        <w:rPr>
          <w:rFonts w:ascii="Times New Roman" w:eastAsia="Times New Roman" w:hAnsi="Times New Roman" w:cs="Times New Roman"/>
          <w:color w:val="000000"/>
          <w:sz w:val="28"/>
          <w:szCs w:val="28"/>
        </w:rPr>
        <w:t xml:space="preserve">Уссурийского городского округа Приморского края, АО «Уссурийск - Электросеть», </w:t>
      </w:r>
      <w:hyperlink r:id="rId17" w:tooltip="https://adm-ussuriisk.ru/administrationUGO/podvedomstvennye_uchrezhdeniya_i_predpriyatiya1/ao_ussuriyskoe_predpriyatie_teplovykh_setey/" w:history="1">
        <w:r>
          <w:rPr>
            <w:rFonts w:ascii="Times New Roman" w:eastAsia="Times New Roman" w:hAnsi="Times New Roman" w:cs="Times New Roman"/>
            <w:bCs/>
            <w:color w:val="000000"/>
            <w:sz w:val="28"/>
            <w:szCs w:val="28"/>
          </w:rPr>
          <w:t>МАУ «Плавательный бассейн «Чайка» Уссурийского городского округа Приморского края</w:t>
        </w:r>
      </w:hyperlink>
      <w:r>
        <w:rPr>
          <w:rFonts w:ascii="Times New Roman" w:eastAsia="Times New Roman" w:hAnsi="Times New Roman" w:cs="Times New Roman"/>
          <w:color w:val="000000"/>
          <w:sz w:val="28"/>
          <w:szCs w:val="28"/>
        </w:rPr>
        <w:t>».</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2025 году в организациях, расположенных на территории Уссурийского городского округа зарегистрировано 12 несчастных случаев, в расследовании которых приняли участие специалисты управления социальных отношений</w:t>
      </w:r>
      <w:r>
        <w:rPr>
          <w:rFonts w:ascii="Times New Roman" w:eastAsia="Times New Roman" w:hAnsi="Times New Roman" w:cs="Times New Roman"/>
          <w:color w:val="000000"/>
          <w:sz w:val="28"/>
          <w:szCs w:val="28"/>
        </w:rPr>
        <w:t>. Из них 7 случаев связанных с производством.</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 соответствии с постановлением администрации Уссурийского городского округа от 03 июня 2021 года № 1274-НПА «Об утверждении Положения о проведении конкурса на лучшую постановку работы по охране труда в Уссурийском городском округе» организована работа с организациями Уссурийского городского округа. В 2025году на участие в конкурсе на лучшую постановку работы по охране труда в Уссурийском городском округе было подана 15 заявок.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 2025 года управлением социальных отношений осуществлялась методическая помощь предприятиям (работодателям) по подготовке и заключению трудовых договоров с работниками в соответствии с действующим законодательством, в организации и проведении специальной оценки условий труда рабочих мест, сертификации работ по охране труда, в разработке и реализации мер по созданию здоровых и безопасных условий труда, профилактике травматизма и </w:t>
      </w:r>
      <w:proofErr w:type="spellStart"/>
      <w:r>
        <w:rPr>
          <w:rFonts w:ascii="Times New Roman" w:eastAsia="Times New Roman" w:hAnsi="Times New Roman" w:cs="Times New Roman"/>
          <w:color w:val="000000"/>
          <w:sz w:val="28"/>
          <w:szCs w:val="28"/>
        </w:rPr>
        <w:t>профзаболеваемости</w:t>
      </w:r>
      <w:proofErr w:type="spellEnd"/>
      <w:r>
        <w:rPr>
          <w:rFonts w:ascii="Times New Roman" w:eastAsia="Times New Roman" w:hAnsi="Times New Roman" w:cs="Times New Roman"/>
          <w:color w:val="000000"/>
          <w:sz w:val="28"/>
          <w:szCs w:val="28"/>
        </w:rPr>
        <w:t xml:space="preserve">, в разработке </w:t>
      </w:r>
      <w:r>
        <w:rPr>
          <w:rFonts w:ascii="Times New Roman" w:eastAsia="Times New Roman" w:hAnsi="Times New Roman" w:cs="Times New Roman"/>
          <w:color w:val="000000"/>
          <w:sz w:val="28"/>
          <w:szCs w:val="28"/>
        </w:rPr>
        <w:lastRenderedPageBreak/>
        <w:t>коллективных договоров, соглашений по охране труда. В 2025 году обратилось 36 человек по вопросам трудовых отношений.</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widowControl w:val="0"/>
        <w:spacing w:after="0"/>
        <w:ind w:firstLine="709"/>
        <w:jc w:val="center"/>
        <w:rPr>
          <w:rFonts w:ascii="Times New Roman" w:hAnsi="Times New Roman" w:cs="Times New Roman"/>
          <w:sz w:val="28"/>
          <w:szCs w:val="28"/>
        </w:rPr>
      </w:pPr>
      <w:r>
        <w:rPr>
          <w:rFonts w:ascii="Times New Roman" w:eastAsia="Times New Roman" w:hAnsi="Times New Roman" w:cs="Times New Roman"/>
          <w:b/>
          <w:bCs/>
          <w:color w:val="000000"/>
          <w:sz w:val="28"/>
          <w:szCs w:val="28"/>
        </w:rPr>
        <w:t>Обеспечение безопасных условий охраны труда в администрации Уссурийского городского округа Приморского края</w:t>
      </w:r>
    </w:p>
    <w:p w:rsidR="00B52DE3" w:rsidRDefault="00B52DE3">
      <w:pPr>
        <w:widowControl w:val="0"/>
        <w:spacing w:after="0" w:line="360" w:lineRule="auto"/>
        <w:ind w:firstLine="709"/>
        <w:jc w:val="center"/>
        <w:rPr>
          <w:rFonts w:ascii="Times New Roman" w:hAnsi="Times New Roman" w:cs="Times New Roman"/>
          <w:b/>
          <w:bCs/>
          <w:color w:val="000000"/>
          <w:sz w:val="28"/>
          <w:szCs w:val="28"/>
        </w:rPr>
      </w:pP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Распоряжением администрации Уссурийского городского округа                от 27 июня 2019 года № 187 «Об организации работы по охране труда в администрации Уссурийского городского округа и признании утратившим силу распоряжения администрации Уссурийского городского округа                 от 01 апреля 2013 года № 54 «Об организации работы по охране труда в администрации Уссурийского городского округа» утверждены Положение и состав комиссии по охране труда в администрации Уссурийского городского округа.</w:t>
      </w: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 2025 году проведен вводный инструктаж по охране труда                                 с 63 работниками при приеме на работу (в том числе с лицами, проходящими практику в администрации Уссурийского городского округа). С начала 2025 года 16 руководителей (специалистов) прошли обучение по вопросам охраны труда в обществе с ограниченной ответственностью «Дальневосточный региональный центр охраны труда» (сроком на 3 года). </w:t>
      </w:r>
    </w:p>
    <w:p w:rsidR="00B52DE3" w:rsidRDefault="00B52DE3">
      <w:pPr>
        <w:widowControl w:val="0"/>
        <w:spacing w:after="0" w:line="360" w:lineRule="auto"/>
        <w:ind w:firstLine="709"/>
        <w:jc w:val="both"/>
        <w:rPr>
          <w:rFonts w:ascii="Times New Roman" w:hAnsi="Times New Roman" w:cs="Times New Roman"/>
          <w:color w:val="000000"/>
          <w:sz w:val="28"/>
          <w:szCs w:val="28"/>
        </w:rPr>
      </w:pPr>
    </w:p>
    <w:p w:rsidR="00B52DE3" w:rsidRDefault="00DE73E3">
      <w:pPr>
        <w:pStyle w:val="Heading2"/>
        <w:jc w:val="center"/>
        <w:rPr>
          <w:rFonts w:ascii="Times New Roman" w:hAnsi="Times New Roman"/>
          <w:i w:val="0"/>
          <w:iCs w:val="0"/>
        </w:rPr>
      </w:pPr>
      <w:bookmarkStart w:id="167" w:name="_Toc153"/>
      <w:r>
        <w:rPr>
          <w:rFonts w:ascii="Times New Roman" w:hAnsi="Times New Roman"/>
          <w:i w:val="0"/>
          <w:iCs w:val="0"/>
          <w:color w:val="151515"/>
        </w:rPr>
        <w:t xml:space="preserve">Выполнение задач по внесению информации </w:t>
      </w:r>
      <w:r>
        <w:rPr>
          <w:rFonts w:ascii="Times New Roman" w:hAnsi="Times New Roman"/>
          <w:i w:val="0"/>
          <w:iCs w:val="0"/>
        </w:rPr>
        <w:t>в государственную информационную систему «Единая централизованная цифровая платформа в социальной сфере»:</w:t>
      </w:r>
      <w:bookmarkEnd w:id="167"/>
    </w:p>
    <w:p w:rsidR="00B52DE3" w:rsidRDefault="00B52DE3">
      <w:pPr>
        <w:pStyle w:val="Standard"/>
        <w:widowControl w:val="0"/>
        <w:spacing w:line="360" w:lineRule="auto"/>
        <w:jc w:val="both"/>
        <w:rPr>
          <w:b/>
          <w:bCs/>
          <w:sz w:val="28"/>
          <w:szCs w:val="28"/>
          <w:u w:val="single"/>
        </w:rPr>
      </w:pPr>
    </w:p>
    <w:p w:rsidR="00B52DE3" w:rsidRDefault="00DE73E3">
      <w:pPr>
        <w:spacing w:after="0" w:line="360" w:lineRule="auto"/>
        <w:ind w:firstLine="709"/>
        <w:jc w:val="both"/>
        <w:rPr>
          <w:rFonts w:ascii="Times New Roman" w:eastAsia="Times New Roman" w:hAnsi="Times New Roman" w:cs="Times New Roman"/>
          <w:color w:val="151515"/>
          <w:sz w:val="28"/>
          <w:szCs w:val="28"/>
        </w:rPr>
      </w:pPr>
      <w:r>
        <w:rPr>
          <w:rFonts w:ascii="Times New Roman" w:eastAsia="Times New Roman" w:hAnsi="Times New Roman" w:cs="Times New Roman"/>
          <w:color w:val="151515"/>
          <w:sz w:val="28"/>
          <w:szCs w:val="28"/>
        </w:rPr>
        <w:t xml:space="preserve">В целях обеспечения прозрачности и эффективности деятельности органов государственной власти в области государственной социальной помощи, противодействия коррупции, повышения уровня информированности граждан о правах на социальное обеспечение и снижения их физических и временных затрат при получении мер социальной </w:t>
      </w:r>
      <w:r>
        <w:rPr>
          <w:rFonts w:ascii="Times New Roman" w:eastAsia="Times New Roman" w:hAnsi="Times New Roman" w:cs="Times New Roman"/>
          <w:color w:val="151515"/>
          <w:sz w:val="28"/>
          <w:szCs w:val="28"/>
        </w:rPr>
        <w:lastRenderedPageBreak/>
        <w:t xml:space="preserve">поддержки в рамках исполнения </w:t>
      </w:r>
      <w:r>
        <w:rPr>
          <w:rFonts w:ascii="Times New Roman" w:eastAsia="Times New Roman" w:hAnsi="Times New Roman" w:cs="Times New Roman"/>
          <w:color w:val="000000"/>
          <w:spacing w:val="-4"/>
          <w:sz w:val="28"/>
          <w:szCs w:val="28"/>
        </w:rPr>
        <w:t xml:space="preserve">Постановления Правительства РФ                            от 29 декабря 2023 года № 2386 «О государственной информационной системе </w:t>
      </w:r>
      <w:r>
        <w:rPr>
          <w:rFonts w:ascii="Times New Roman" w:eastAsia="Times New Roman" w:hAnsi="Times New Roman" w:cs="Times New Roman"/>
          <w:sz w:val="28"/>
          <w:szCs w:val="28"/>
        </w:rPr>
        <w:t>«</w:t>
      </w:r>
      <w:r>
        <w:rPr>
          <w:rFonts w:ascii="Times New Roman" w:eastAsia="Times New Roman" w:hAnsi="Times New Roman" w:cs="Times New Roman"/>
          <w:color w:val="000000"/>
          <w:spacing w:val="-4"/>
          <w:sz w:val="28"/>
          <w:szCs w:val="28"/>
        </w:rPr>
        <w:t>Единая централизованная цифровая платформа в социальной сфере</w:t>
      </w:r>
      <w:r>
        <w:rPr>
          <w:rFonts w:ascii="Times New Roman" w:eastAsia="Times New Roman" w:hAnsi="Times New Roman" w:cs="Times New Roman"/>
          <w:sz w:val="28"/>
          <w:szCs w:val="28"/>
        </w:rPr>
        <w:t>»</w:t>
      </w:r>
      <w:r>
        <w:rPr>
          <w:rFonts w:ascii="Times New Roman" w:eastAsia="Times New Roman" w:hAnsi="Times New Roman" w:cs="Times New Roman"/>
          <w:color w:val="151515"/>
          <w:sz w:val="28"/>
          <w:szCs w:val="28"/>
        </w:rPr>
        <w:t xml:space="preserve"> и Федерального закона от 29 декабря 2015 года №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w:t>
      </w:r>
      <w:proofErr w:type="spellStart"/>
      <w:r>
        <w:rPr>
          <w:rFonts w:ascii="Times New Roman" w:eastAsia="Times New Roman" w:hAnsi="Times New Roman" w:cs="Times New Roman"/>
          <w:color w:val="151515"/>
          <w:sz w:val="28"/>
          <w:szCs w:val="28"/>
        </w:rPr>
        <w:t>адресности</w:t>
      </w:r>
      <w:proofErr w:type="spellEnd"/>
      <w:r>
        <w:rPr>
          <w:rFonts w:ascii="Times New Roman" w:eastAsia="Times New Roman" w:hAnsi="Times New Roman" w:cs="Times New Roman"/>
          <w:color w:val="151515"/>
          <w:sz w:val="28"/>
          <w:szCs w:val="28"/>
        </w:rPr>
        <w:t xml:space="preserve"> и применения критериев нуждаемости» внесены сведения в отношении 29770 факта о назначении и прекращении МСЗ (по состоянию на 10 декабря 2025 года). Перечень локальных мер социальной защиты (поддержки) администрации Уссурийского городского округа Приморского края, предоставляемых в ЕГИССО включает 35 мер социальной защиты, актуализированных в соответствии с требованиями ОСФР, Министерства труда и социального развития, </w:t>
      </w:r>
      <w:r>
        <w:rPr>
          <w:rFonts w:ascii="Times New Roman" w:eastAsia="Times New Roman" w:hAnsi="Times New Roman" w:cs="Times New Roman"/>
          <w:sz w:val="28"/>
          <w:szCs w:val="28"/>
        </w:rPr>
        <w:t xml:space="preserve">с методическими рекомендациями </w:t>
      </w:r>
      <w:r>
        <w:rPr>
          <w:rFonts w:ascii="Times New Roman" w:eastAsia="Times New Roman" w:hAnsi="Times New Roman" w:cs="Times New Roman"/>
          <w:color w:val="151515"/>
          <w:sz w:val="28"/>
          <w:szCs w:val="28"/>
        </w:rPr>
        <w:t xml:space="preserve">по </w:t>
      </w:r>
      <w:proofErr w:type="spellStart"/>
      <w:r>
        <w:rPr>
          <w:rFonts w:ascii="Times New Roman" w:eastAsia="Times New Roman" w:hAnsi="Times New Roman" w:cs="Times New Roman"/>
          <w:color w:val="151515"/>
          <w:sz w:val="28"/>
          <w:szCs w:val="28"/>
        </w:rPr>
        <w:t>проактивному</w:t>
      </w:r>
      <w:proofErr w:type="spellEnd"/>
      <w:r>
        <w:rPr>
          <w:rFonts w:ascii="Times New Roman" w:eastAsia="Times New Roman" w:hAnsi="Times New Roman" w:cs="Times New Roman"/>
          <w:color w:val="151515"/>
          <w:sz w:val="28"/>
          <w:szCs w:val="28"/>
        </w:rPr>
        <w:t xml:space="preserve"> информированию граждан о мерах социальной защиты (поддержки) права на которые возникают в связи с наступлением определенных жизненных событий, </w:t>
      </w:r>
      <w:proofErr w:type="spellStart"/>
      <w:r>
        <w:rPr>
          <w:rFonts w:ascii="Times New Roman" w:eastAsia="Times New Roman" w:hAnsi="Times New Roman" w:cs="Times New Roman"/>
          <w:color w:val="151515"/>
          <w:sz w:val="28"/>
          <w:szCs w:val="28"/>
        </w:rPr>
        <w:t>чек-листами</w:t>
      </w:r>
      <w:proofErr w:type="spellEnd"/>
      <w:r>
        <w:rPr>
          <w:rFonts w:ascii="Times New Roman" w:eastAsia="Times New Roman" w:hAnsi="Times New Roman" w:cs="Times New Roman"/>
          <w:color w:val="151515"/>
          <w:sz w:val="28"/>
          <w:szCs w:val="28"/>
        </w:rPr>
        <w:t>.</w:t>
      </w:r>
    </w:p>
    <w:p w:rsidR="00B52DE3" w:rsidRDefault="00DE73E3">
      <w:pPr>
        <w:spacing w:after="0" w:line="360" w:lineRule="auto"/>
        <w:ind w:firstLine="709"/>
        <w:jc w:val="both"/>
        <w:rPr>
          <w:rFonts w:ascii="Times New Roman" w:eastAsia="Times New Roman" w:hAnsi="Times New Roman" w:cs="Times New Roman"/>
          <w:color w:val="151515"/>
          <w:sz w:val="28"/>
          <w:szCs w:val="28"/>
        </w:rPr>
      </w:pPr>
      <w:r>
        <w:rPr>
          <w:rFonts w:ascii="Times New Roman" w:eastAsia="Times New Roman" w:hAnsi="Times New Roman" w:cs="Times New Roman"/>
          <w:color w:val="151515"/>
          <w:sz w:val="28"/>
          <w:szCs w:val="28"/>
        </w:rPr>
        <w:t>В связи с прекращением деятельности некоторых органов, назначающих меры социальной защиты (далее - ОНМСЗ) путем реорганизации в форме присоединения к другим ОНМСЗ ведется работа по актуализации</w:t>
      </w:r>
      <w:r>
        <w:rPr>
          <w:rFonts w:ascii="Times New Roman" w:eastAsia="Times New Roman" w:hAnsi="Times New Roman" w:cs="Times New Roman"/>
          <w:sz w:val="28"/>
          <w:szCs w:val="28"/>
        </w:rPr>
        <w:t xml:space="preserve"> регистрационных данных</w:t>
      </w:r>
      <w:r>
        <w:rPr>
          <w:rFonts w:ascii="Times New Roman" w:eastAsia="Times New Roman" w:hAnsi="Times New Roman" w:cs="Times New Roman"/>
          <w:color w:val="151515"/>
          <w:sz w:val="28"/>
          <w:szCs w:val="28"/>
        </w:rPr>
        <w:t xml:space="preserve"> 4-х участников ОНМСЗ (исключение из числа поставщиков информации), путем формирования и направления заявок по форме Приложение 3 к Регламенту информационного взаимодействия в службу технической поддержки на изменение регистрационных данных о поставщике информации.</w:t>
      </w:r>
    </w:p>
    <w:p w:rsidR="00B52DE3" w:rsidRDefault="00DE73E3">
      <w:pPr>
        <w:spacing w:after="0" w:line="360" w:lineRule="auto"/>
        <w:ind w:firstLine="709"/>
        <w:jc w:val="both"/>
        <w:rPr>
          <w:rFonts w:ascii="Times New Roman" w:eastAsia="Times New Roman" w:hAnsi="Times New Roman" w:cs="Times New Roman"/>
          <w:color w:val="151515"/>
          <w:sz w:val="28"/>
          <w:szCs w:val="28"/>
        </w:rPr>
      </w:pPr>
      <w:r>
        <w:rPr>
          <w:rFonts w:ascii="Times New Roman" w:eastAsia="Times New Roman" w:hAnsi="Times New Roman" w:cs="Times New Roman"/>
          <w:color w:val="151515"/>
          <w:sz w:val="28"/>
          <w:szCs w:val="28"/>
        </w:rPr>
        <w:t>В связи с внесением изменений в Уставы МБОУ и МБДОУ ведется работа по актуализации</w:t>
      </w:r>
      <w:r>
        <w:rPr>
          <w:rFonts w:ascii="Times New Roman" w:eastAsia="Times New Roman" w:hAnsi="Times New Roman" w:cs="Times New Roman"/>
          <w:sz w:val="28"/>
          <w:szCs w:val="28"/>
        </w:rPr>
        <w:t xml:space="preserve"> регистрационных данных</w:t>
      </w:r>
      <w:r>
        <w:rPr>
          <w:rFonts w:ascii="Times New Roman" w:eastAsia="Times New Roman" w:hAnsi="Times New Roman" w:cs="Times New Roman"/>
          <w:color w:val="151515"/>
          <w:sz w:val="28"/>
          <w:szCs w:val="28"/>
        </w:rPr>
        <w:t xml:space="preserve"> участников ОНМСЗ путем формирования и направления заявок  по форме Приложение 3 к Регламенту </w:t>
      </w:r>
      <w:r>
        <w:rPr>
          <w:rFonts w:ascii="Times New Roman" w:eastAsia="Times New Roman" w:hAnsi="Times New Roman" w:cs="Times New Roman"/>
          <w:color w:val="151515"/>
          <w:sz w:val="28"/>
          <w:szCs w:val="28"/>
        </w:rPr>
        <w:lastRenderedPageBreak/>
        <w:t>информационного взаимодействия в службу технической поддержки на изменение регистрационных данных о поставщике информации.</w:t>
      </w:r>
    </w:p>
    <w:p w:rsidR="00B52DE3" w:rsidRDefault="00DE73E3">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связи с закрытием меры (по рекомендациям ОСФР заведена новая мера с формой предоставления - денежная) 0544 «Компенсация части родительской платы за содержание ребенка в дошкольной образовательной организации» (форма предоставления - льгота) проведена подробная выверка загруженных фактов назначения за период 2023 год - 8720 фактов, </w:t>
      </w:r>
      <w:r>
        <w:rPr>
          <w:rFonts w:ascii="Times New Roman" w:eastAsia="Times New Roman" w:hAnsi="Times New Roman" w:cs="Times New Roman"/>
          <w:sz w:val="28"/>
          <w:szCs w:val="28"/>
        </w:rPr>
        <w:t xml:space="preserve">АППГ </w:t>
      </w:r>
      <w:r>
        <w:rPr>
          <w:rFonts w:ascii="Times New Roman" w:eastAsia="Times New Roman" w:hAnsi="Times New Roman" w:cs="Times New Roman"/>
          <w:color w:val="000000"/>
          <w:sz w:val="28"/>
          <w:szCs w:val="28"/>
        </w:rPr>
        <w:t xml:space="preserve">- 7714 фактов по устранению незакрытых периодов, корректировке суммы назначений.    </w:t>
      </w:r>
    </w:p>
    <w:p w:rsidR="00B52DE3" w:rsidRDefault="00DE73E3">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связи с обновлением категорий в Классификаторе, добавлением категорий граждан в НПА, направлены заявки в СТП на рассмотрение добавления в Классификатор связки для приведения в соответствие мер социальной защиты (поддержки), включенных в реестр локальных мер социальной защиты (поддержки) параметрам, заданным в Классификаторе МСЗ в ЕГИССО.</w:t>
      </w:r>
    </w:p>
    <w:p w:rsidR="00B52DE3" w:rsidRDefault="00DE73E3">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151515"/>
          <w:sz w:val="28"/>
          <w:szCs w:val="28"/>
        </w:rPr>
        <w:t>В связи с поступившими заявлениями от граждан по вопросу</w:t>
      </w:r>
      <w:r>
        <w:rPr>
          <w:rFonts w:ascii="Times New Roman" w:eastAsia="Times New Roman" w:hAnsi="Times New Roman" w:cs="Times New Roman"/>
          <w:color w:val="000000"/>
          <w:sz w:val="28"/>
          <w:szCs w:val="28"/>
        </w:rPr>
        <w:t xml:space="preserve"> приобретения и установки нецентрализованных систем водоснабжения, водоотведения на земельных участках, предоставленных гражданам, имеющим трех и более детей добавлен ОНМСЗ - управление жизнеобеспечения администрации Уссурийского городского округа Приморского края в Реестр точек присутствия и сформирован стандарт на основании постановления администрации Уссурийского городского округа от 16 января2024 № 47-НПА и внесена новая мера 0594 «Единовременная компенсационная выплата на приобретение и установку на земельных участках централизованных систем водоснабжения и водоотведения».</w:t>
      </w:r>
    </w:p>
    <w:p w:rsidR="00B52DE3" w:rsidRDefault="00DE73E3">
      <w:pPr>
        <w:spacing w:after="0" w:line="360" w:lineRule="auto"/>
        <w:ind w:firstLine="709"/>
        <w:jc w:val="both"/>
        <w:rPr>
          <w:rFonts w:ascii="Times New Roman" w:eastAsia="Times New Roman" w:hAnsi="Times New Roman" w:cs="Times New Roman"/>
          <w:color w:val="151515"/>
          <w:sz w:val="28"/>
          <w:szCs w:val="28"/>
        </w:rPr>
      </w:pPr>
      <w:r>
        <w:rPr>
          <w:rFonts w:ascii="Times New Roman" w:eastAsia="Times New Roman" w:hAnsi="Times New Roman" w:cs="Times New Roman"/>
          <w:color w:val="151515"/>
          <w:sz w:val="28"/>
          <w:szCs w:val="28"/>
        </w:rPr>
        <w:t xml:space="preserve">В целях соответствия наименования мер социальной защиты (поддержки) в «Единой государственной информационной системе социального обеспечения» государственной информационной системы «Единой централизованной цифровой платформы в социальной сфере», </w:t>
      </w:r>
      <w:r>
        <w:rPr>
          <w:rFonts w:ascii="Times New Roman" w:eastAsia="Times New Roman" w:hAnsi="Times New Roman" w:cs="Times New Roman"/>
          <w:color w:val="151515"/>
          <w:sz w:val="28"/>
          <w:szCs w:val="28"/>
        </w:rPr>
        <w:lastRenderedPageBreak/>
        <w:t>включенных в реестр локальных мер социальной защиты (поддержки) субъекта Российской Федерации, изменены наименования всех 35 локальных мер социальной защиты (поддержки) в соответствии с требованиями: «Методические рекомендации (</w:t>
      </w:r>
      <w:proofErr w:type="spellStart"/>
      <w:r>
        <w:rPr>
          <w:rFonts w:ascii="Times New Roman" w:eastAsia="Times New Roman" w:hAnsi="Times New Roman" w:cs="Times New Roman"/>
          <w:color w:val="151515"/>
          <w:sz w:val="28"/>
          <w:szCs w:val="28"/>
        </w:rPr>
        <w:t>проактивное</w:t>
      </w:r>
      <w:proofErr w:type="spellEnd"/>
      <w:r>
        <w:rPr>
          <w:rFonts w:ascii="Times New Roman" w:eastAsia="Times New Roman" w:hAnsi="Times New Roman" w:cs="Times New Roman"/>
          <w:color w:val="151515"/>
          <w:sz w:val="28"/>
          <w:szCs w:val="28"/>
        </w:rPr>
        <w:t xml:space="preserve"> информирование граждан о мерах социальной защиты (поддержки) права на которые возникают в связи с наступлением определенных жизненных событий) Версия: 1.2.3. от 12 ноября 2024 года (письмо Министерства труда и социальной политики ПК                          от 22 ноября 2024 года № 26/13784) 12 февраля 2025 года внесены изменения в постановление администрации Уссурийского городского округа                       от 06 августа 2018 года № 1870 «</w:t>
      </w:r>
      <w:r>
        <w:rPr>
          <w:rFonts w:ascii="Times New Roman" w:eastAsia="Times New Roman" w:hAnsi="Times New Roman" w:cs="Times New Roman"/>
          <w:sz w:val="28"/>
          <w:szCs w:val="28"/>
        </w:rPr>
        <w:t>«Об утверждении перечня локальных мер социальной защиты (поддержки) администрации Уссурийского городского округа, предоставляемых в Единую государственную информационную систему социального обеспечения и о порядке взаимодействия отраслевых (функциональных) органов администрации Уссурийского городского округа по предоставлению информации для размещения в Единой государственной информационной системе социального обеспечения»</w:t>
      </w:r>
      <w:r>
        <w:rPr>
          <w:rFonts w:ascii="Times New Roman" w:eastAsia="Times New Roman" w:hAnsi="Times New Roman" w:cs="Times New Roman"/>
          <w:color w:val="151515"/>
          <w:sz w:val="28"/>
          <w:szCs w:val="28"/>
        </w:rPr>
        <w:t>.</w:t>
      </w:r>
    </w:p>
    <w:p w:rsidR="00B52DE3" w:rsidRDefault="00DE73E3">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151515"/>
          <w:sz w:val="28"/>
          <w:szCs w:val="28"/>
        </w:rPr>
        <w:t xml:space="preserve">В целях своевременного и качественного внесения сведений в ЕГИССО ГИС ЕЦЦП проведена </w:t>
      </w:r>
      <w:r>
        <w:rPr>
          <w:rFonts w:ascii="Times New Roman" w:eastAsia="Times New Roman" w:hAnsi="Times New Roman" w:cs="Times New Roman"/>
          <w:color w:val="000000"/>
          <w:sz w:val="28"/>
          <w:szCs w:val="28"/>
        </w:rPr>
        <w:t>выверка фактов назначений, имеющих признаки некорректной выгрузки в части пересекающихся (дублирующихся) периодов назначения, фактов с некорректными датами окончания действия, выверка загруженных записей Факта назначения с не закрытой датой окончания действия с периодичностью предоставления «Единовременно» и «Ежегодно», произведена корректировка данных в соответствии с методическими рекомендациями ОСФР.</w:t>
      </w:r>
    </w:p>
    <w:p w:rsidR="00B52DE3" w:rsidRDefault="00DE73E3">
      <w:pPr>
        <w:spacing w:after="0" w:line="360" w:lineRule="auto"/>
        <w:ind w:firstLine="709"/>
        <w:jc w:val="both"/>
        <w:rPr>
          <w:rFonts w:ascii="Times New Roman" w:eastAsia="Times New Roman" w:hAnsi="Times New Roman" w:cs="Times New Roman"/>
          <w:color w:val="151515"/>
          <w:sz w:val="28"/>
          <w:szCs w:val="28"/>
        </w:rPr>
      </w:pPr>
      <w:r>
        <w:rPr>
          <w:rFonts w:ascii="Times New Roman" w:eastAsia="Times New Roman" w:hAnsi="Times New Roman" w:cs="Times New Roman"/>
          <w:color w:val="151515"/>
          <w:sz w:val="28"/>
          <w:szCs w:val="28"/>
        </w:rPr>
        <w:t xml:space="preserve">В целях осуществления контроля загрузки сведений, вносимых в отношении меры 0758: </w:t>
      </w:r>
      <w:r>
        <w:rPr>
          <w:rFonts w:ascii="Times New Roman" w:eastAsia="Times New Roman" w:hAnsi="Times New Roman" w:cs="Times New Roman"/>
          <w:color w:val="000000"/>
          <w:sz w:val="28"/>
          <w:szCs w:val="28"/>
        </w:rPr>
        <w:t xml:space="preserve">«Предоставление бесплатного питания в форме продуктового набора лицам, обучение которых организовано муниципальными общеобразовательными организациями на дому», «Предоставление бесплатного питания один раз в день в муниципальных </w:t>
      </w:r>
      <w:r>
        <w:rPr>
          <w:rFonts w:ascii="Times New Roman" w:eastAsia="Times New Roman" w:hAnsi="Times New Roman" w:cs="Times New Roman"/>
          <w:color w:val="000000"/>
          <w:sz w:val="28"/>
          <w:szCs w:val="28"/>
        </w:rPr>
        <w:lastRenderedPageBreak/>
        <w:t xml:space="preserve">общеобразовательных организациях (1-4 классы)», «Предоставление бесплатного питания два раза в день детям, обучающимся в муниципальных общеобразовательных организациях (1-11 классы)», «Обеспечение бесплатным питанием (молока или кисломолочного продукта) детей, обучающихся в государственных (краевых) и муниципальных общеобразовательных организациях Приморского края», «Предоставление бесплатного питания один раз в день детям, обучающимся в муниципальных общеобразовательных организациях (5-11 классы)»; меры </w:t>
      </w:r>
      <w:r>
        <w:rPr>
          <w:rFonts w:ascii="Times New Roman" w:eastAsia="Times New Roman" w:hAnsi="Times New Roman" w:cs="Times New Roman"/>
          <w:color w:val="151515"/>
          <w:sz w:val="28"/>
          <w:szCs w:val="28"/>
        </w:rPr>
        <w:t xml:space="preserve">1148 </w:t>
      </w:r>
      <w:r>
        <w:rPr>
          <w:rFonts w:ascii="Times New Roman" w:eastAsia="Times New Roman" w:hAnsi="Times New Roman" w:cs="Times New Roman"/>
          <w:color w:val="000000"/>
          <w:sz w:val="28"/>
          <w:szCs w:val="28"/>
        </w:rPr>
        <w:t>«Обеспечение бесплатным горячим питанием или наборами продуктов в детских оздоровительных лагерях с дневным пребыванием на базе муниципальных образовательных учреждений в каникулярное время»</w:t>
      </w:r>
      <w:r>
        <w:rPr>
          <w:rFonts w:ascii="Times New Roman" w:eastAsia="Times New Roman" w:hAnsi="Times New Roman" w:cs="Times New Roman"/>
          <w:color w:val="151515"/>
          <w:sz w:val="28"/>
          <w:szCs w:val="28"/>
        </w:rPr>
        <w:t xml:space="preserve"> проведен анализ в части внесенных фактов назначения учреждениями образования с дальнейшим оказанием методической помощи для устранения выявленных нарушений.</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151515"/>
          <w:sz w:val="28"/>
          <w:szCs w:val="28"/>
        </w:rPr>
        <w:t xml:space="preserve">В целях </w:t>
      </w:r>
      <w:r>
        <w:rPr>
          <w:rFonts w:ascii="Times New Roman" w:eastAsia="Times New Roman" w:hAnsi="Times New Roman" w:cs="Times New Roman"/>
          <w:sz w:val="28"/>
          <w:szCs w:val="28"/>
        </w:rPr>
        <w:t xml:space="preserve">осуществления </w:t>
      </w:r>
      <w:proofErr w:type="spellStart"/>
      <w:r>
        <w:rPr>
          <w:rFonts w:ascii="Times New Roman" w:eastAsia="Times New Roman" w:hAnsi="Times New Roman" w:cs="Times New Roman"/>
          <w:sz w:val="28"/>
          <w:szCs w:val="28"/>
        </w:rPr>
        <w:t>проактивного</w:t>
      </w:r>
      <w:proofErr w:type="spellEnd"/>
      <w:r>
        <w:rPr>
          <w:rFonts w:ascii="Times New Roman" w:eastAsia="Times New Roman" w:hAnsi="Times New Roman" w:cs="Times New Roman"/>
          <w:sz w:val="28"/>
          <w:szCs w:val="28"/>
        </w:rPr>
        <w:t xml:space="preserve"> персонифицированного информирования граждан произведена актуализация описания мер поддержки, приведены в соответствие МСЗ, включенные в реестр ЛМСЗ параметрам, заданным в Классификаторе МСЗ в ЕГИССО ГИС ЕЦЦП, ссылок на электронные формы подачи заявлений на предоставление соответствующих мер, направлены заявки на добавление новых условий в соответствии с НПА в Справочник по связыванию МСЗ с жизненным событием «Наступление пенсионного возраста» для включения в матрицу. </w:t>
      </w:r>
    </w:p>
    <w:p w:rsidR="00B52DE3" w:rsidRDefault="00DE73E3">
      <w:pPr>
        <w:pStyle w:val="afff0"/>
        <w:spacing w:before="0" w:after="0" w:line="360" w:lineRule="auto"/>
        <w:ind w:firstLine="708"/>
        <w:jc w:val="both"/>
        <w:rPr>
          <w:sz w:val="28"/>
          <w:szCs w:val="28"/>
        </w:rPr>
      </w:pPr>
      <w:r>
        <w:rPr>
          <w:rFonts w:eastAsia="Times New Roman"/>
          <w:sz w:val="28"/>
          <w:szCs w:val="28"/>
        </w:rPr>
        <w:t xml:space="preserve">В целях мониторинга Рейтинга по </w:t>
      </w:r>
      <w:proofErr w:type="spellStart"/>
      <w:r>
        <w:rPr>
          <w:rFonts w:eastAsia="Times New Roman"/>
          <w:sz w:val="28"/>
          <w:szCs w:val="28"/>
        </w:rPr>
        <w:t>проактивному</w:t>
      </w:r>
      <w:proofErr w:type="spellEnd"/>
      <w:r>
        <w:rPr>
          <w:rFonts w:eastAsia="Times New Roman"/>
          <w:sz w:val="28"/>
          <w:szCs w:val="28"/>
        </w:rPr>
        <w:t xml:space="preserve"> информированию еженедельно проходит видеоконференция - заседание межведомственной рабочей группы по обеспечению функционирования Единой государственной информационной системы социального обеспечения в Приморском крае. </w:t>
      </w:r>
    </w:p>
    <w:p w:rsidR="00B52DE3" w:rsidRDefault="00DE73E3">
      <w:pPr>
        <w:pStyle w:val="afff0"/>
        <w:spacing w:before="0" w:after="0" w:line="360" w:lineRule="auto"/>
        <w:ind w:firstLine="708"/>
        <w:jc w:val="both"/>
        <w:rPr>
          <w:sz w:val="28"/>
          <w:szCs w:val="28"/>
        </w:rPr>
      </w:pPr>
      <w:r>
        <w:rPr>
          <w:rFonts w:eastAsia="Times New Roman"/>
          <w:color w:val="151515"/>
          <w:sz w:val="28"/>
          <w:szCs w:val="28"/>
        </w:rPr>
        <w:t xml:space="preserve">В целях своевременной и полной загрузки сведений о фактах предоставления мер социальной защиты (поддержки) оказывается </w:t>
      </w:r>
      <w:r>
        <w:rPr>
          <w:rFonts w:eastAsia="Times New Roman"/>
          <w:color w:val="151515"/>
          <w:sz w:val="28"/>
          <w:szCs w:val="28"/>
        </w:rPr>
        <w:lastRenderedPageBreak/>
        <w:t>методическая помощь отраслевым (функциональным) органам администрации Уссурийского городского округа Приморского края образовательным учреждениям, реализующих основную общеобразовательную программу и программу дошкольного образования.</w:t>
      </w:r>
    </w:p>
    <w:p w:rsidR="00B52DE3" w:rsidRDefault="00B52DE3">
      <w:pPr>
        <w:pStyle w:val="afff0"/>
        <w:spacing w:before="0" w:after="0"/>
        <w:ind w:firstLine="708"/>
        <w:jc w:val="both"/>
        <w:rPr>
          <w:sz w:val="28"/>
          <w:szCs w:val="28"/>
        </w:rPr>
      </w:pPr>
    </w:p>
    <w:p w:rsidR="00B52DE3" w:rsidRDefault="00DE73E3">
      <w:pPr>
        <w:widowControl w:val="0"/>
        <w:spacing w:after="0"/>
        <w:ind w:firstLine="850"/>
        <w:jc w:val="center"/>
        <w:rPr>
          <w:rFonts w:ascii="Times New Roman" w:hAnsi="Times New Roman" w:cs="Times New Roman"/>
          <w:sz w:val="28"/>
          <w:szCs w:val="28"/>
        </w:rPr>
      </w:pPr>
      <w:r>
        <w:rPr>
          <w:rFonts w:ascii="Times New Roman" w:eastAsia="Times New Roman" w:hAnsi="Times New Roman" w:cs="Times New Roman"/>
          <w:b/>
          <w:bCs/>
          <w:color w:val="000000"/>
          <w:sz w:val="28"/>
          <w:szCs w:val="28"/>
        </w:rPr>
        <w:t>Для выполнения задачи по вопросу содействия органов местного самоуправления при предоставлении государственной социальной помощи на основании социального контракта:</w:t>
      </w:r>
    </w:p>
    <w:p w:rsidR="00B52DE3" w:rsidRDefault="00DE73E3">
      <w:pPr>
        <w:spacing w:after="0" w:line="360" w:lineRule="auto"/>
        <w:ind w:firstLine="709"/>
        <w:jc w:val="both"/>
        <w:rPr>
          <w:rFonts w:ascii="Times New Roman" w:hAnsi="Times New Roman"/>
          <w:sz w:val="28"/>
          <w:szCs w:val="28"/>
        </w:rPr>
      </w:pPr>
      <w:r>
        <w:rPr>
          <w:rFonts w:ascii="Times New Roman" w:hAnsi="Times New Roman"/>
          <w:color w:val="000000"/>
          <w:sz w:val="28"/>
          <w:szCs w:val="28"/>
        </w:rPr>
        <w:t xml:space="preserve">Администрацией Уссурийского городского округа Приморского края на постоянной основе проводятся ежемесячные мероприятия по утвержденному Плану мероприятий снижения уровня бедности, в том числе путем оказания государственной социальной помощи на основании социального контракта на территории Уссурийского городского округа, а также мероприятия, согласно Плану дополнительных мероприятий по снижению уровня бедности путем оказания государственной социальной помощи на основании социального контракта. Информирование граждан Уссурийского городского округа о возможности и условиях заключения социального контракта осуществляется на официальном сайте администрации Уссурийского городского округа, где размещены памятки, видеоролик и нормативно-правовые акты; еженедельно, по понедельникам на официальных </w:t>
      </w:r>
      <w:proofErr w:type="spellStart"/>
      <w:r>
        <w:rPr>
          <w:rFonts w:ascii="Times New Roman" w:hAnsi="Times New Roman"/>
          <w:color w:val="000000"/>
          <w:sz w:val="28"/>
          <w:szCs w:val="28"/>
        </w:rPr>
        <w:t>аккаунтах</w:t>
      </w:r>
      <w:proofErr w:type="spellEnd"/>
      <w:r>
        <w:rPr>
          <w:rFonts w:ascii="Times New Roman" w:hAnsi="Times New Roman"/>
          <w:color w:val="000000"/>
          <w:sz w:val="28"/>
          <w:szCs w:val="28"/>
        </w:rPr>
        <w:t xml:space="preserve"> социальных сетей администрации Уссурийского городского округа публикуется информация об условиях, порядке и способах получения социального контракта.  </w:t>
      </w:r>
    </w:p>
    <w:p w:rsidR="00B52DE3" w:rsidRDefault="00DE73E3">
      <w:pPr>
        <w:pStyle w:val="afff0"/>
        <w:spacing w:before="0" w:after="0" w:line="360" w:lineRule="auto"/>
        <w:ind w:firstLine="708"/>
        <w:jc w:val="both"/>
        <w:rPr>
          <w:sz w:val="28"/>
          <w:szCs w:val="28"/>
        </w:rPr>
      </w:pPr>
      <w:r>
        <w:rPr>
          <w:rFonts w:eastAsia="Times New Roman"/>
          <w:color w:val="000000"/>
          <w:sz w:val="28"/>
          <w:szCs w:val="28"/>
        </w:rPr>
        <w:t xml:space="preserve">В целях популяризации государственной социальной помощи на основании социального контракта систематически проводятся рабочие встречи по </w:t>
      </w:r>
      <w:r>
        <w:rPr>
          <w:rFonts w:eastAsia="Times New Roman"/>
          <w:sz w:val="28"/>
          <w:szCs w:val="28"/>
        </w:rPr>
        <w:t xml:space="preserve">вопросу взаимодействия между структурами для выполнения годового целевого показателя. </w:t>
      </w:r>
      <w:r>
        <w:rPr>
          <w:rFonts w:eastAsia="Times New Roman"/>
          <w:color w:val="000000"/>
          <w:sz w:val="28"/>
          <w:szCs w:val="28"/>
        </w:rPr>
        <w:t xml:space="preserve">  </w:t>
      </w:r>
    </w:p>
    <w:p w:rsidR="00B52DE3" w:rsidRDefault="00DE73E3">
      <w:pPr>
        <w:pStyle w:val="Standard"/>
        <w:widowControl w:val="0"/>
        <w:spacing w:line="360" w:lineRule="auto"/>
        <w:ind w:firstLine="709"/>
        <w:jc w:val="both"/>
        <w:rPr>
          <w:sz w:val="28"/>
          <w:szCs w:val="28"/>
        </w:rPr>
      </w:pPr>
      <w:r>
        <w:rPr>
          <w:sz w:val="28"/>
          <w:szCs w:val="28"/>
        </w:rPr>
        <w:t>2025 год (Год Защитника Отечества) план дополнительных мероприятий (в 2025 году рекомендована организация популяризации СК путем проведение «Акции добра» с акцентом на Год Защитника Отечества):</w:t>
      </w:r>
    </w:p>
    <w:p w:rsidR="00B52DE3" w:rsidRDefault="00DE73E3">
      <w:pPr>
        <w:pStyle w:val="Standard"/>
        <w:widowControl w:val="0"/>
        <w:spacing w:line="360" w:lineRule="auto"/>
        <w:ind w:firstLine="709"/>
        <w:jc w:val="both"/>
        <w:rPr>
          <w:sz w:val="28"/>
          <w:szCs w:val="28"/>
        </w:rPr>
      </w:pPr>
      <w:r>
        <w:rPr>
          <w:sz w:val="28"/>
          <w:szCs w:val="28"/>
        </w:rPr>
        <w:lastRenderedPageBreak/>
        <w:t xml:space="preserve">07 марта проведение «Акции добра» при участии лиц, заключивших социальный контракт по «ИП» на безвозмездной основе; мероприятие  приурочено ко Дню 8 марта – оформление </w:t>
      </w:r>
      <w:proofErr w:type="spellStart"/>
      <w:r>
        <w:rPr>
          <w:sz w:val="28"/>
          <w:szCs w:val="28"/>
        </w:rPr>
        <w:t>фотозоны</w:t>
      </w:r>
      <w:proofErr w:type="spellEnd"/>
      <w:r>
        <w:rPr>
          <w:sz w:val="28"/>
          <w:szCs w:val="28"/>
        </w:rPr>
        <w:t xml:space="preserve">, </w:t>
      </w:r>
      <w:proofErr w:type="spellStart"/>
      <w:r>
        <w:rPr>
          <w:sz w:val="28"/>
          <w:szCs w:val="28"/>
        </w:rPr>
        <w:t>фотосессия</w:t>
      </w:r>
      <w:proofErr w:type="spellEnd"/>
      <w:r>
        <w:rPr>
          <w:sz w:val="28"/>
          <w:szCs w:val="28"/>
        </w:rPr>
        <w:t xml:space="preserve"> гостей на праздничном концерте для семей участников СВО, ветеранов боевых действий, членов семей участников ВОВ в ФГБУ «Дом офицеров Уссурийского гарнизона» с привлечением СМИ;</w:t>
      </w:r>
    </w:p>
    <w:p w:rsidR="00B52DE3" w:rsidRDefault="00DE73E3">
      <w:pPr>
        <w:pStyle w:val="Standard"/>
        <w:widowControl w:val="0"/>
        <w:spacing w:line="360" w:lineRule="auto"/>
        <w:ind w:firstLine="709"/>
        <w:jc w:val="both"/>
        <w:rPr>
          <w:sz w:val="28"/>
          <w:szCs w:val="28"/>
        </w:rPr>
      </w:pPr>
      <w:r>
        <w:rPr>
          <w:sz w:val="28"/>
          <w:szCs w:val="28"/>
        </w:rPr>
        <w:t>«Акции добра» приурочена к празднованию Дня Победы – сладкие подарки ветеранам ВОВ (на дому), монтаж видео о подвигах.</w:t>
      </w:r>
    </w:p>
    <w:p w:rsidR="00B52DE3" w:rsidRDefault="00DE73E3">
      <w:pPr>
        <w:pStyle w:val="Standard"/>
        <w:widowControl w:val="0"/>
        <w:spacing w:line="360" w:lineRule="auto"/>
        <w:ind w:firstLine="709"/>
        <w:jc w:val="both"/>
        <w:rPr>
          <w:sz w:val="28"/>
          <w:szCs w:val="28"/>
        </w:rPr>
      </w:pPr>
      <w:r>
        <w:rPr>
          <w:sz w:val="28"/>
          <w:szCs w:val="28"/>
        </w:rPr>
        <w:t xml:space="preserve">Информирование граждан производится на постоянной основе: на официальном сайте администрации УГО ПК, подведомственных учреждениях культуры, спорта, образования, отделах по работе с сельскими территориями, на официальных </w:t>
      </w:r>
      <w:proofErr w:type="spellStart"/>
      <w:r>
        <w:rPr>
          <w:sz w:val="28"/>
          <w:szCs w:val="28"/>
        </w:rPr>
        <w:t>аккаунтах</w:t>
      </w:r>
      <w:proofErr w:type="spellEnd"/>
      <w:r>
        <w:rPr>
          <w:sz w:val="28"/>
          <w:szCs w:val="28"/>
        </w:rPr>
        <w:t xml:space="preserve"> социальных сетей администрации Уссурийского городского округа «</w:t>
      </w:r>
      <w:proofErr w:type="spellStart"/>
      <w:r>
        <w:rPr>
          <w:sz w:val="28"/>
          <w:szCs w:val="28"/>
        </w:rPr>
        <w:t>ВКонтакте</w:t>
      </w:r>
      <w:proofErr w:type="spellEnd"/>
      <w:r>
        <w:rPr>
          <w:sz w:val="28"/>
          <w:szCs w:val="28"/>
        </w:rPr>
        <w:t>», «</w:t>
      </w:r>
      <w:proofErr w:type="spellStart"/>
      <w:r>
        <w:rPr>
          <w:sz w:val="28"/>
          <w:szCs w:val="28"/>
        </w:rPr>
        <w:t>Телеграм</w:t>
      </w:r>
      <w:proofErr w:type="spellEnd"/>
      <w:r>
        <w:rPr>
          <w:sz w:val="28"/>
          <w:szCs w:val="28"/>
        </w:rPr>
        <w:t>», «Одноклассники», а также сайтах управляющих компаний и предприятий жилищно-коммунальной сферы. Информирование кадровыми службами при трудоустройстве о направлении социального контракта «Поиск работы». Выявление граждан (КДН) не являющимися получателями мер социальной поддержки (защиты) с дальнейшей передачей в Отделение по УГО КГКУ «ЦСПН ПК».</w:t>
      </w:r>
    </w:p>
    <w:p w:rsidR="00B52DE3" w:rsidRDefault="00B52DE3">
      <w:pPr>
        <w:pStyle w:val="Standard"/>
        <w:widowControl w:val="0"/>
        <w:spacing w:line="360" w:lineRule="auto"/>
        <w:ind w:firstLine="709"/>
        <w:jc w:val="both"/>
        <w:rPr>
          <w:sz w:val="28"/>
          <w:szCs w:val="28"/>
        </w:rPr>
      </w:pPr>
    </w:p>
    <w:p w:rsidR="00B52DE3" w:rsidRDefault="00DE73E3">
      <w:pPr>
        <w:pStyle w:val="Heading2"/>
        <w:jc w:val="center"/>
        <w:rPr>
          <w:rFonts w:ascii="Times New Roman" w:hAnsi="Times New Roman"/>
          <w:i w:val="0"/>
          <w:iCs w:val="0"/>
        </w:rPr>
      </w:pPr>
      <w:bookmarkStart w:id="168" w:name="_Toc154"/>
      <w:r>
        <w:rPr>
          <w:rFonts w:ascii="Times New Roman" w:hAnsi="Times New Roman"/>
          <w:i w:val="0"/>
          <w:iCs w:val="0"/>
          <w:color w:val="000000"/>
        </w:rPr>
        <w:t xml:space="preserve">Мероприятия администрации Уссурийского городского округа в сфере охраны здоровья населения на территории Уссурийского городского округа Приморского края </w:t>
      </w:r>
      <w:bookmarkEnd w:id="168"/>
    </w:p>
    <w:p w:rsidR="00B52DE3" w:rsidRDefault="00B52DE3">
      <w:pPr>
        <w:widowControl w:val="0"/>
        <w:spacing w:after="0" w:line="360" w:lineRule="auto"/>
        <w:ind w:firstLine="709"/>
        <w:jc w:val="center"/>
        <w:rPr>
          <w:rFonts w:ascii="Times New Roman" w:hAnsi="Times New Roman" w:cs="Times New Roman"/>
          <w:b/>
          <w:bCs/>
          <w:color w:val="000000"/>
          <w:sz w:val="28"/>
          <w:szCs w:val="28"/>
        </w:rPr>
      </w:pP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 рамках регионального проекта «Здравоохранение» муниципальным образованиям доведены показатели его реализации: количество дополнительно трудоустроившихся врачей и средних медицинских работников – 71 человек; число сохраненных жизней – 27 человек; </w:t>
      </w:r>
      <w:r>
        <w:rPr>
          <w:rFonts w:ascii="Times New Roman" w:eastAsia="Times New Roman" w:hAnsi="Times New Roman" w:cs="Times New Roman"/>
          <w:color w:val="000000"/>
          <w:sz w:val="28"/>
          <w:szCs w:val="28"/>
        </w:rPr>
        <w:lastRenderedPageBreak/>
        <w:t>выполнение годового плана профилактического осмотра и диспансеризации определенных групп, взрослого населения – 69 271 человек.</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Администрацией Уссурийского городского округа проводился оперативный мониторинг достижения показателей на территории Уссурийского городского округа, а так же проводился ряд мероприятий, направленных на достижение данных показателей в рамках Федерального закона от 06 октября 2003 годы № 131 «Об общих принципах организации местного самоуправления в Российской Федерации».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 целях привлечения специалистов (врачей и среднего медицинского персонала) администрацией Уссурийского городского округа предусмотрены следующие меры социальной поддержки: предоставление служебных жилых помещений и льготные места для детей медицинских работников.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За период с 01 января 2025 года по 10 декабря 2025 года детям медицинских работников предоставлено 15 льготных мест</w:t>
      </w:r>
      <w:r>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FF0000"/>
          <w:sz w:val="28"/>
          <w:szCs w:val="28"/>
        </w:rPr>
        <w:t xml:space="preserve"> </w:t>
      </w:r>
      <w:r>
        <w:rPr>
          <w:rFonts w:ascii="Times New Roman" w:eastAsia="Times New Roman" w:hAnsi="Times New Roman" w:cs="Times New Roman"/>
          <w:bCs/>
          <w:sz w:val="28"/>
          <w:szCs w:val="28"/>
        </w:rPr>
        <w:t>служебные жилые</w:t>
      </w:r>
      <w:r>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rPr>
        <w:t xml:space="preserve">помещения в указанном периоде не предоставлялись.  </w:t>
      </w:r>
    </w:p>
    <w:p w:rsidR="00B52DE3" w:rsidRDefault="00DE73E3">
      <w:pPr>
        <w:spacing w:after="0" w:line="360" w:lineRule="auto"/>
        <w:ind w:firstLine="595"/>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По состоянию на 30 ноября 2025 года дополнительно трудоустроено врачей и среднего медицинского персонала в краевые лечебные учреждения Уссурийского городского округа «+5» человек. За период с 01 января 2025 года по 08 декабря 2025 года прошли диспансеризацию и профилактические медицинские осмотры – 47 663 человека, что составляет 68,8% от планового показателя 69 271 человек. </w:t>
      </w:r>
    </w:p>
    <w:p w:rsidR="00B52DE3" w:rsidRDefault="00DE73E3">
      <w:pPr>
        <w:spacing w:after="0" w:line="360" w:lineRule="auto"/>
        <w:ind w:firstLine="595"/>
        <w:jc w:val="both"/>
        <w:rPr>
          <w:rFonts w:ascii="Times New Roman" w:hAnsi="Times New Roman" w:cs="Times New Roman"/>
          <w:sz w:val="28"/>
          <w:szCs w:val="28"/>
        </w:rPr>
      </w:pPr>
      <w:r>
        <w:rPr>
          <w:rFonts w:ascii="Times New Roman" w:eastAsia="Times New Roman" w:hAnsi="Times New Roman" w:cs="Times New Roman"/>
          <w:sz w:val="28"/>
          <w:szCs w:val="28"/>
        </w:rPr>
        <w:t xml:space="preserve">В целях увеличения количества граждан, прошедших диспансеризацию, проведено информирование в СМИ, на официальном сайте администрации, официальных страницах социальных сетей, на экране на городской площади. </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 xml:space="preserve">На постоянной основе проводится адресная работа с руководителями предприятий и организаций, расположенных на территории Уссурийского городского округа, рассылается информация о необходимости и важности прохождения диспансеризации. Списки с контактными данными руководителей предприятий и организаций, выразивших согласие </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lastRenderedPageBreak/>
        <w:t>на прохождение диспансеризации, направляются в учреждения здравоохранения для организации работы.</w:t>
      </w:r>
    </w:p>
    <w:p w:rsidR="00B52DE3" w:rsidRDefault="00DE73E3">
      <w:pPr>
        <w:pStyle w:val="afff1"/>
        <w:spacing w:line="360" w:lineRule="auto"/>
        <w:ind w:left="0" w:right="113" w:firstLine="709"/>
        <w:jc w:val="both"/>
        <w:rPr>
          <w:sz w:val="28"/>
          <w:szCs w:val="28"/>
        </w:rPr>
      </w:pPr>
      <w:r>
        <w:rPr>
          <w:color w:val="000000"/>
          <w:sz w:val="28"/>
          <w:szCs w:val="28"/>
        </w:rPr>
        <w:t>Проведено 32 встречи по вопросу диспансеризации с работодателями. Присутствовали 600 работодателей</w:t>
      </w:r>
      <w:r>
        <w:rPr>
          <w:sz w:val="28"/>
          <w:szCs w:val="28"/>
        </w:rPr>
        <w:t xml:space="preserve">. </w:t>
      </w:r>
      <w:r>
        <w:rPr>
          <w:color w:val="000000"/>
          <w:sz w:val="28"/>
          <w:szCs w:val="28"/>
        </w:rPr>
        <w:t xml:space="preserve">При проведении информационных рейдов по неформальной занятости работодателям и работникам вручаются памятки по диспансеризации. Сотрудниками управления социальных отношений организовано выездное информирование: 27 организаций, предоставляющих услуги </w:t>
      </w:r>
      <w:proofErr w:type="spellStart"/>
      <w:r>
        <w:rPr>
          <w:color w:val="000000"/>
          <w:sz w:val="28"/>
          <w:szCs w:val="28"/>
        </w:rPr>
        <w:t>шиномонтажа</w:t>
      </w:r>
      <w:proofErr w:type="spellEnd"/>
      <w:r>
        <w:rPr>
          <w:color w:val="000000"/>
          <w:sz w:val="28"/>
          <w:szCs w:val="28"/>
        </w:rPr>
        <w:t>, 57 пунктов выдачи заказов (</w:t>
      </w:r>
      <w:r>
        <w:rPr>
          <w:color w:val="000000"/>
          <w:sz w:val="28"/>
          <w:szCs w:val="28"/>
          <w:lang w:val="en-US"/>
        </w:rPr>
        <w:t>OZON</w:t>
      </w:r>
      <w:r>
        <w:rPr>
          <w:color w:val="000000"/>
          <w:sz w:val="28"/>
          <w:szCs w:val="28"/>
        </w:rPr>
        <w:t xml:space="preserve">, </w:t>
      </w:r>
      <w:r>
        <w:rPr>
          <w:color w:val="000000"/>
          <w:sz w:val="28"/>
          <w:szCs w:val="28"/>
          <w:lang w:val="en-US"/>
        </w:rPr>
        <w:t>WILDBERRIES</w:t>
      </w:r>
      <w:r>
        <w:rPr>
          <w:color w:val="000000"/>
          <w:sz w:val="28"/>
          <w:szCs w:val="28"/>
        </w:rPr>
        <w:t>), цветочных магазинов, вручены сотрудникам ООО СМО «Восточно-страховой альянс» и размещены для информирования.</w:t>
      </w:r>
    </w:p>
    <w:p w:rsidR="00B52DE3" w:rsidRDefault="00DE73E3">
      <w:pPr>
        <w:pStyle w:val="afff1"/>
        <w:spacing w:line="360" w:lineRule="auto"/>
        <w:ind w:left="0" w:right="113" w:firstLine="709"/>
        <w:jc w:val="both"/>
        <w:rPr>
          <w:sz w:val="28"/>
          <w:szCs w:val="28"/>
        </w:rPr>
      </w:pPr>
      <w:r>
        <w:rPr>
          <w:color w:val="000000"/>
          <w:sz w:val="28"/>
          <w:szCs w:val="28"/>
        </w:rPr>
        <w:t>С 04 сентября 2025 года на центральной площади начала работу  медицинская бригада КГБУЗ «Уссурийская ЦГБ» в мобильном медицинском комплексе для прохождения диспансеризации, профилактических осмотров и вакцинации против гриппа. С 14 октября 2025 года по 05 ноября 2025 года автопоезд работал на территории сельских поселений, чтобы граждане могли пройти диспансеризацию, флюорографию, маммографию. Всего в автопоезде с 04 сентября 2025 года по 05 ноября 2025 года прошли диспансеризацию</w:t>
      </w:r>
      <w:r>
        <w:rPr>
          <w:color w:val="FF0000"/>
          <w:sz w:val="28"/>
          <w:szCs w:val="28"/>
        </w:rPr>
        <w:t xml:space="preserve"> </w:t>
      </w:r>
      <w:r>
        <w:rPr>
          <w:color w:val="000000"/>
          <w:sz w:val="28"/>
          <w:szCs w:val="28"/>
        </w:rPr>
        <w:t>1441 человек.                          С 05 сентября 2025 года организован подвоз жителей отдаленных сельских территорий в Поликлинику № 2 КГБУЗ «Уссурийская ЦГБ»</w:t>
      </w:r>
      <w:r>
        <w:rPr>
          <w:sz w:val="28"/>
          <w:szCs w:val="28"/>
        </w:rPr>
        <w:t xml:space="preserve"> </w:t>
      </w:r>
      <w:r>
        <w:rPr>
          <w:color w:val="000000"/>
          <w:sz w:val="28"/>
          <w:szCs w:val="28"/>
        </w:rPr>
        <w:t xml:space="preserve">для прохождения диспансеризации. Организована выездная диспансеризация сотрудников УЛРЗ - прошли обследование 167 чел., Водоканал – 535 чел., ООО </w:t>
      </w:r>
      <w:proofErr w:type="spellStart"/>
      <w:r>
        <w:rPr>
          <w:color w:val="000000"/>
          <w:sz w:val="28"/>
          <w:szCs w:val="28"/>
        </w:rPr>
        <w:t>Мегастрой</w:t>
      </w:r>
      <w:proofErr w:type="spellEnd"/>
      <w:r>
        <w:rPr>
          <w:color w:val="000000"/>
          <w:sz w:val="28"/>
          <w:szCs w:val="28"/>
        </w:rPr>
        <w:t xml:space="preserve"> - 19 чел., ООО «</w:t>
      </w:r>
      <w:proofErr w:type="spellStart"/>
      <w:r>
        <w:rPr>
          <w:color w:val="000000"/>
          <w:sz w:val="28"/>
          <w:szCs w:val="28"/>
        </w:rPr>
        <w:t>Примметалснаб</w:t>
      </w:r>
      <w:proofErr w:type="spellEnd"/>
      <w:r>
        <w:rPr>
          <w:color w:val="000000"/>
          <w:sz w:val="28"/>
          <w:szCs w:val="28"/>
        </w:rPr>
        <w:t>» - 50 чел.</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 xml:space="preserve">В период с 01 февраля 2025 года по 28 февраля 2025 года, 23 апреля 2025 года по 02 мая 2025 года, с 27 июня 2025 года по 03 июля 2025 года,                 с 03 августа 2025 года по 14 августа 2025 года, с 10 октября 2025 года                     по  22 октября 2025 года,  с 30 октября 2025 года по 16 ноября 2025 года,                   с 22 ноября 2025 года по 26 ноября 2025 года на территории Уссурийского городского округа работал мобильный медицинский комплекс для </w:t>
      </w:r>
      <w:r>
        <w:rPr>
          <w:rFonts w:ascii="Times New Roman" w:eastAsia="Times New Roman" w:hAnsi="Times New Roman" w:cs="Times New Roman"/>
          <w:sz w:val="28"/>
          <w:szCs w:val="28"/>
        </w:rPr>
        <w:lastRenderedPageBreak/>
        <w:t xml:space="preserve">обследования несовершеннолетних граждан. Детей осматривали: педиатр, хирург, невролог, офтальмолог, эндокринолог, </w:t>
      </w:r>
      <w:proofErr w:type="spellStart"/>
      <w:r>
        <w:rPr>
          <w:rFonts w:ascii="Times New Roman" w:eastAsia="Times New Roman" w:hAnsi="Times New Roman" w:cs="Times New Roman"/>
          <w:sz w:val="28"/>
          <w:szCs w:val="28"/>
        </w:rPr>
        <w:t>уролог-андролог</w:t>
      </w:r>
      <w:proofErr w:type="spellEnd"/>
      <w:r>
        <w:rPr>
          <w:rFonts w:ascii="Times New Roman" w:eastAsia="Times New Roman" w:hAnsi="Times New Roman" w:cs="Times New Roman"/>
          <w:sz w:val="28"/>
          <w:szCs w:val="28"/>
        </w:rPr>
        <w:t xml:space="preserve">, травматолог-ортопед, отоларинголог, детский гинеколог, стоматолог, психиатр, врач УЗИ и функциональной диагностики. Всего было обследовано 6 533 человека, из них на </w:t>
      </w:r>
      <w:proofErr w:type="spellStart"/>
      <w:r>
        <w:rPr>
          <w:rFonts w:ascii="Times New Roman" w:eastAsia="Times New Roman" w:hAnsi="Times New Roman" w:cs="Times New Roman"/>
          <w:sz w:val="28"/>
          <w:szCs w:val="28"/>
        </w:rPr>
        <w:t>дообследование</w:t>
      </w:r>
      <w:proofErr w:type="spellEnd"/>
      <w:r>
        <w:rPr>
          <w:rFonts w:ascii="Times New Roman" w:eastAsia="Times New Roman" w:hAnsi="Times New Roman" w:cs="Times New Roman"/>
          <w:sz w:val="28"/>
          <w:szCs w:val="28"/>
        </w:rPr>
        <w:t xml:space="preserve"> направлено                        1893 человека, на оперативное лечение 38 человек.</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В рамках региональной программы Приморского края «</w:t>
      </w:r>
      <w:r>
        <w:rPr>
          <w:rFonts w:ascii="Times New Roman" w:eastAsia="Times New Roman" w:hAnsi="Times New Roman" w:cs="Times New Roman"/>
          <w:color w:val="000000"/>
          <w:sz w:val="28"/>
          <w:szCs w:val="28"/>
        </w:rPr>
        <w:t>Приморье - край, дружественный долголетию</w:t>
      </w:r>
      <w:r>
        <w:rPr>
          <w:rFonts w:ascii="Times New Roman" w:eastAsia="Times New Roman" w:hAnsi="Times New Roman" w:cs="Times New Roman"/>
          <w:sz w:val="28"/>
          <w:szCs w:val="28"/>
        </w:rPr>
        <w:t>» н</w:t>
      </w:r>
      <w:r>
        <w:rPr>
          <w:rFonts w:ascii="Times New Roman" w:eastAsia="Times New Roman" w:hAnsi="Times New Roman" w:cs="Times New Roman"/>
          <w:color w:val="000000"/>
          <w:sz w:val="28"/>
          <w:szCs w:val="28"/>
        </w:rPr>
        <w:t xml:space="preserve">а 2025 - 2030 годы </w:t>
      </w:r>
      <w:r>
        <w:rPr>
          <w:rFonts w:ascii="Times New Roman" w:eastAsia="Times New Roman" w:hAnsi="Times New Roman" w:cs="Times New Roman"/>
          <w:sz w:val="28"/>
          <w:szCs w:val="28"/>
        </w:rPr>
        <w:t xml:space="preserve">ежемесячно проводится передача материалов для наполнения сайта «Активное долголетие», также ежемесячно заполняется </w:t>
      </w:r>
      <w:proofErr w:type="spellStart"/>
      <w:r>
        <w:rPr>
          <w:rFonts w:ascii="Times New Roman" w:eastAsia="Times New Roman" w:hAnsi="Times New Roman" w:cs="Times New Roman"/>
          <w:sz w:val="28"/>
          <w:szCs w:val="28"/>
        </w:rPr>
        <w:t>гугл-форма</w:t>
      </w:r>
      <w:proofErr w:type="spellEnd"/>
      <w:r>
        <w:rPr>
          <w:rFonts w:ascii="Times New Roman" w:eastAsia="Times New Roman" w:hAnsi="Times New Roman" w:cs="Times New Roman"/>
          <w:sz w:val="28"/>
          <w:szCs w:val="28"/>
        </w:rPr>
        <w:t xml:space="preserve"> о количестве участников старшего поколения в культурных, спортивных и образовательных мероприятиях. Ежемесячно на официальном сайте администрации размещается информация о планируемых и прошедших мероприятиях, организуемых для лиц пенсионного и </w:t>
      </w:r>
      <w:proofErr w:type="spellStart"/>
      <w:r>
        <w:rPr>
          <w:rFonts w:ascii="Times New Roman" w:eastAsia="Times New Roman" w:hAnsi="Times New Roman" w:cs="Times New Roman"/>
          <w:sz w:val="28"/>
          <w:szCs w:val="28"/>
        </w:rPr>
        <w:t>предпенсионного</w:t>
      </w:r>
      <w:proofErr w:type="spellEnd"/>
      <w:r>
        <w:rPr>
          <w:rFonts w:ascii="Times New Roman" w:eastAsia="Times New Roman" w:hAnsi="Times New Roman" w:cs="Times New Roman"/>
          <w:sz w:val="28"/>
          <w:szCs w:val="28"/>
        </w:rPr>
        <w:t xml:space="preserve"> возраста на территории Уссурийского городского округа Приморского края. Исполняются мероприятия по укреплению общественного здоровья населения в Уссурийском городском округе, включенные в муниципальную программу «Развитие физической культуры, массового спорта и укрепление общественного здоровья в Уссурийском городском округе» на 2021-2028 годы.</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 2025 году проведено два заседания межведомственного Совета по укреплению общественного здоровья на территории Уссурийского городского округа, на которых обсуждались вопросы результатов проведения диспансеризации в 2025 году, заболеваемости </w:t>
      </w:r>
      <w:proofErr w:type="spellStart"/>
      <w:r>
        <w:rPr>
          <w:rFonts w:ascii="Times New Roman" w:eastAsia="Times New Roman" w:hAnsi="Times New Roman" w:cs="Times New Roman"/>
          <w:color w:val="000000"/>
          <w:sz w:val="28"/>
          <w:szCs w:val="28"/>
        </w:rPr>
        <w:t>ротавирусной</w:t>
      </w:r>
      <w:proofErr w:type="spellEnd"/>
      <w:r>
        <w:rPr>
          <w:rFonts w:ascii="Times New Roman" w:eastAsia="Times New Roman" w:hAnsi="Times New Roman" w:cs="Times New Roman"/>
          <w:color w:val="000000"/>
          <w:sz w:val="28"/>
          <w:szCs w:val="28"/>
        </w:rPr>
        <w:t xml:space="preserve"> инфекцией, бешенством, ОРВИ, гриппом </w:t>
      </w:r>
      <w:r>
        <w:rPr>
          <w:rFonts w:ascii="Times New Roman" w:eastAsia="Times New Roman" w:hAnsi="Times New Roman" w:cs="Times New Roman"/>
          <w:color w:val="000000"/>
          <w:sz w:val="28"/>
          <w:szCs w:val="28"/>
          <w:lang w:val="en-US"/>
        </w:rPr>
        <w:t>COVID</w:t>
      </w:r>
      <w:r>
        <w:rPr>
          <w:rFonts w:ascii="Times New Roman" w:eastAsia="Times New Roman" w:hAnsi="Times New Roman" w:cs="Times New Roman"/>
          <w:color w:val="000000"/>
          <w:sz w:val="28"/>
          <w:szCs w:val="28"/>
        </w:rPr>
        <w:t xml:space="preserve">-19, опасных заболеваний для отъезжающих в экзотические страны, потребления </w:t>
      </w:r>
      <w:proofErr w:type="spellStart"/>
      <w:r>
        <w:rPr>
          <w:rFonts w:ascii="Times New Roman" w:eastAsia="Times New Roman" w:hAnsi="Times New Roman" w:cs="Times New Roman"/>
          <w:color w:val="000000"/>
          <w:sz w:val="28"/>
          <w:szCs w:val="28"/>
        </w:rPr>
        <w:t>психоактивных</w:t>
      </w:r>
      <w:proofErr w:type="spellEnd"/>
      <w:r>
        <w:rPr>
          <w:rFonts w:ascii="Times New Roman" w:eastAsia="Times New Roman" w:hAnsi="Times New Roman" w:cs="Times New Roman"/>
          <w:color w:val="000000"/>
          <w:sz w:val="28"/>
          <w:szCs w:val="28"/>
        </w:rPr>
        <w:t xml:space="preserve"> веществ среди несовершеннолетних граждан и их профилактики, укомплектованности кадрами медицинских учреждений Уссурийского городского округа в 2025 году,  а также план работы на 2026 год.</w:t>
      </w:r>
    </w:p>
    <w:p w:rsidR="00B52DE3" w:rsidRDefault="00DE73E3">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В соответствии с планом работы по укреплению общественного здоровья на территории Уссурийского городского округа проводятся мероприятия, направленные на пропаганду здорового образа жизни и профилактику заболеваний среди жителей округа. Информация о проведенных мероприятиях размещается на официальных страницах социальных сетей ответственных исполнителей, также на официальных страницах социальных сетей размещаются в материалы на темы профилактики заболеваний и укрепления здоровья, разработанные государственным автономным учреждением здравоохранения </w:t>
      </w:r>
      <w:r>
        <w:rPr>
          <w:rFonts w:ascii="Times New Roman" w:eastAsia="Times New Roman" w:hAnsi="Times New Roman" w:cs="Times New Roman"/>
          <w:color w:val="000000"/>
          <w:sz w:val="28"/>
          <w:szCs w:val="28"/>
        </w:rPr>
        <w:br/>
        <w:t>«Приморский краевой медицинский информационно-аналитический центр».</w:t>
      </w:r>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pStyle w:val="Heading2"/>
        <w:spacing w:before="0" w:after="0"/>
        <w:jc w:val="center"/>
        <w:rPr>
          <w:rFonts w:ascii="Times New Roman" w:hAnsi="Times New Roman"/>
          <w:i w:val="0"/>
          <w:iCs w:val="0"/>
        </w:rPr>
      </w:pPr>
      <w:bookmarkStart w:id="169" w:name="_Toc155"/>
      <w:r>
        <w:rPr>
          <w:rFonts w:ascii="Times New Roman" w:hAnsi="Times New Roman"/>
          <w:i w:val="0"/>
          <w:iCs w:val="0"/>
        </w:rPr>
        <w:t>Оказание помощи членам семей участников СВО на территории Уссурийского городского округа</w:t>
      </w:r>
      <w:bookmarkEnd w:id="169"/>
    </w:p>
    <w:p w:rsidR="00B52DE3" w:rsidRDefault="00B52DE3">
      <w:pPr>
        <w:widowControl w:val="0"/>
        <w:spacing w:after="0"/>
        <w:ind w:firstLine="709"/>
        <w:jc w:val="center"/>
        <w:rPr>
          <w:rFonts w:ascii="Times New Roman" w:hAnsi="Times New Roman" w:cs="Times New Roman"/>
          <w:b/>
          <w:bCs/>
          <w:sz w:val="28"/>
          <w:szCs w:val="28"/>
        </w:rPr>
      </w:pP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bidi="ru-RU"/>
        </w:rPr>
        <w:t>Постановлением главы Уссурийского городского округа от 03 марта 2023 года № 540-НПА «Об утверждении Порядка оказания единовременной материальной помощи членам семей граждан, погибших (умерших) в результате участия в специальной военной операции на территории Донецкой Народной Республики, Луганской Народной Республики, Украины, а также Запорожской области, Херсонской области за счет средств резервного фонда администрации Уссурийского городского округа» предусмотрено получение единовременной материальной помощи члену семьи погибшего участника специальной военной операции на территории Уссурийского городского округа Приморского края.</w:t>
      </w:r>
    </w:p>
    <w:p w:rsidR="00B52DE3" w:rsidRDefault="00DE73E3">
      <w:pPr>
        <w:widowControl w:val="0"/>
        <w:spacing w:after="0" w:line="360" w:lineRule="auto"/>
        <w:ind w:firstLine="709"/>
        <w:jc w:val="both"/>
        <w:rPr>
          <w:rFonts w:ascii="Times New Roman" w:hAnsi="Times New Roman"/>
          <w:sz w:val="28"/>
          <w:szCs w:val="28"/>
        </w:rPr>
      </w:pPr>
      <w:r>
        <w:rPr>
          <w:rFonts w:ascii="Times New Roman" w:eastAsia="Times New Roman" w:hAnsi="Times New Roman" w:cs="Times New Roman"/>
          <w:bCs/>
          <w:sz w:val="28"/>
          <w:szCs w:val="28"/>
          <w:lang w:bidi="ru-RU"/>
        </w:rPr>
        <w:t>Всего в 2025 году поступило 425 заявлений (АППГ- 131) на оказание материальной помощи.</w:t>
      </w:r>
    </w:p>
    <w:p w:rsidR="00B52DE3" w:rsidRDefault="00DE73E3">
      <w:pPr>
        <w:spacing w:after="0" w:line="360" w:lineRule="auto"/>
        <w:ind w:firstLine="709"/>
        <w:jc w:val="both"/>
        <w:rPr>
          <w:rFonts w:ascii="Times New Roman" w:hAnsi="Times New Roman"/>
          <w:sz w:val="28"/>
          <w:szCs w:val="28"/>
        </w:rPr>
      </w:pPr>
      <w:r>
        <w:rPr>
          <w:rFonts w:ascii="Times New Roman" w:hAnsi="Times New Roman"/>
          <w:color w:val="000000"/>
          <w:sz w:val="28"/>
          <w:szCs w:val="28"/>
        </w:rPr>
        <w:t xml:space="preserve">С целью поддержки </w:t>
      </w:r>
      <w:r>
        <w:rPr>
          <w:rFonts w:ascii="Times New Roman" w:hAnsi="Times New Roman"/>
          <w:sz w:val="28"/>
          <w:szCs w:val="28"/>
        </w:rPr>
        <w:t>членов семей участников специальной военной операции</w:t>
      </w:r>
      <w:r>
        <w:rPr>
          <w:rFonts w:ascii="Times New Roman" w:hAnsi="Times New Roman"/>
          <w:color w:val="000000"/>
          <w:sz w:val="28"/>
          <w:szCs w:val="28"/>
        </w:rPr>
        <w:t xml:space="preserve"> в рамках </w:t>
      </w:r>
      <w:r>
        <w:rPr>
          <w:rFonts w:ascii="Times New Roman" w:hAnsi="Times New Roman"/>
          <w:sz w:val="28"/>
          <w:szCs w:val="28"/>
        </w:rPr>
        <w:t xml:space="preserve">постановления администрации Уссурийского городского округа Приморского края </w:t>
      </w:r>
      <w:r>
        <w:rPr>
          <w:rFonts w:ascii="Times New Roman" w:hAnsi="Times New Roman"/>
          <w:color w:val="000000"/>
          <w:sz w:val="28"/>
          <w:szCs w:val="28"/>
          <w:highlight w:val="white"/>
        </w:rPr>
        <w:t>от 06 сентября 2024</w:t>
      </w:r>
      <w:r>
        <w:rPr>
          <w:rFonts w:ascii="Times New Roman" w:hAnsi="Times New Roman"/>
          <w:color w:val="000000"/>
          <w:sz w:val="28"/>
          <w:szCs w:val="28"/>
        </w:rPr>
        <w:t xml:space="preserve"> года </w:t>
      </w:r>
      <w:r>
        <w:rPr>
          <w:rFonts w:ascii="Times New Roman" w:hAnsi="Times New Roman"/>
          <w:color w:val="000000"/>
          <w:sz w:val="28"/>
          <w:szCs w:val="28"/>
          <w:highlight w:val="white"/>
        </w:rPr>
        <w:t xml:space="preserve">№ 4626-НПА </w:t>
      </w:r>
      <w:r>
        <w:rPr>
          <w:rFonts w:ascii="Times New Roman" w:hAnsi="Times New Roman"/>
          <w:color w:val="000000"/>
          <w:sz w:val="28"/>
          <w:szCs w:val="28"/>
        </w:rPr>
        <w:br/>
        <w:t>«</w:t>
      </w:r>
      <w:r>
        <w:rPr>
          <w:rFonts w:ascii="Times New Roman" w:hAnsi="Times New Roman"/>
          <w:color w:val="000000"/>
          <w:sz w:val="28"/>
          <w:szCs w:val="28"/>
          <w:highlight w:val="white"/>
        </w:rPr>
        <w:t xml:space="preserve">Об утверждении порядка по приобретению и доставке твердого топлива </w:t>
      </w:r>
      <w:r>
        <w:rPr>
          <w:rFonts w:ascii="Times New Roman" w:hAnsi="Times New Roman"/>
          <w:color w:val="000000"/>
          <w:sz w:val="28"/>
          <w:szCs w:val="28"/>
          <w:highlight w:val="white"/>
        </w:rPr>
        <w:lastRenderedPageBreak/>
        <w:t>членам семей участников специальной военной операции на территориях Донецкой Народной Республики, Луганской Народной Республики, Украины, а также Запорожской области, Херсонской области</w:t>
      </w:r>
      <w:r>
        <w:rPr>
          <w:rFonts w:ascii="Times New Roman" w:hAnsi="Times New Roman"/>
          <w:color w:val="000000"/>
          <w:sz w:val="28"/>
          <w:szCs w:val="28"/>
        </w:rPr>
        <w:t xml:space="preserve">», </w:t>
      </w:r>
      <w:r>
        <w:rPr>
          <w:rFonts w:ascii="Times New Roman" w:hAnsi="Times New Roman"/>
          <w:color w:val="000000"/>
          <w:sz w:val="28"/>
          <w:szCs w:val="28"/>
        </w:rPr>
        <w:br/>
      </w:r>
      <w:r>
        <w:rPr>
          <w:rFonts w:ascii="Times New Roman" w:hAnsi="Times New Roman"/>
          <w:color w:val="000000"/>
          <w:sz w:val="28"/>
          <w:szCs w:val="28"/>
          <w:highlight w:val="white"/>
        </w:rPr>
        <w:t>от 24 сентября 2024</w:t>
      </w:r>
      <w:r>
        <w:rPr>
          <w:rFonts w:ascii="Times New Roman" w:hAnsi="Times New Roman"/>
          <w:color w:val="000000"/>
          <w:sz w:val="28"/>
          <w:szCs w:val="28"/>
        </w:rPr>
        <w:t xml:space="preserve"> года </w:t>
      </w:r>
      <w:r>
        <w:rPr>
          <w:rFonts w:ascii="Times New Roman" w:hAnsi="Times New Roman"/>
          <w:color w:val="000000"/>
          <w:sz w:val="28"/>
          <w:szCs w:val="28"/>
          <w:highlight w:val="white"/>
        </w:rPr>
        <w:t>№ 5136-НПА</w:t>
      </w:r>
      <w:r>
        <w:rPr>
          <w:rFonts w:ascii="Times New Roman" w:hAnsi="Times New Roman"/>
          <w:color w:val="000000"/>
          <w:sz w:val="28"/>
          <w:szCs w:val="28"/>
        </w:rPr>
        <w:t xml:space="preserve"> «</w:t>
      </w:r>
      <w:r>
        <w:rPr>
          <w:rFonts w:ascii="Times New Roman" w:hAnsi="Times New Roman"/>
          <w:color w:val="000000"/>
          <w:sz w:val="28"/>
          <w:szCs w:val="28"/>
          <w:highlight w:val="white"/>
        </w:rPr>
        <w:t>Об утверждении порядка по приобретению и доставке твердого топлива (дрова) членам семей участников специальной военной операции на территориях Донецкой Народной Республики, Луганской Народной Республики, Украины, а также Запорожской области, Херсонской области</w:t>
      </w:r>
      <w:r>
        <w:rPr>
          <w:rFonts w:ascii="Times New Roman" w:hAnsi="Times New Roman"/>
          <w:color w:val="000000"/>
          <w:sz w:val="28"/>
          <w:szCs w:val="28"/>
        </w:rPr>
        <w:t>» п</w:t>
      </w:r>
      <w:r>
        <w:rPr>
          <w:rFonts w:ascii="Times New Roman" w:hAnsi="Times New Roman"/>
          <w:color w:val="000000"/>
          <w:sz w:val="28"/>
          <w:szCs w:val="28"/>
          <w:highlight w:val="white"/>
        </w:rPr>
        <w:t xml:space="preserve">ринято заявлений о предоставлении твердого топлива от членов семей участников специальной военной операции за 2025 год (отопительный период октябрь 2025 – апрель 2026 года): уголь 439 (АППГ-326); дрова 468 (АППГ- 325)«325». </w:t>
      </w:r>
      <w:r>
        <w:rPr>
          <w:rFonts w:ascii="Times New Roman" w:hAnsi="Times New Roman"/>
          <w:color w:val="000000"/>
          <w:sz w:val="28"/>
          <w:szCs w:val="28"/>
        </w:rPr>
        <w:t xml:space="preserve">Отказов в предоставлении твердого топлива: «0». Все заявки переданы по реестрам </w:t>
      </w:r>
      <w:r>
        <w:rPr>
          <w:rFonts w:ascii="Times New Roman" w:hAnsi="Times New Roman"/>
          <w:color w:val="000000"/>
          <w:sz w:val="28"/>
          <w:szCs w:val="28"/>
          <w:highlight w:val="white"/>
        </w:rPr>
        <w:t>в управление жизнеобеспечения администрации Уссурийского городского округа Приморского края</w:t>
      </w:r>
      <w:r>
        <w:rPr>
          <w:rFonts w:ascii="Times New Roman" w:hAnsi="Times New Roman"/>
          <w:color w:val="000000"/>
          <w:sz w:val="28"/>
          <w:szCs w:val="28"/>
        </w:rPr>
        <w:t xml:space="preserve">, </w:t>
      </w:r>
      <w:r>
        <w:rPr>
          <w:rFonts w:ascii="Times New Roman" w:hAnsi="Times New Roman"/>
          <w:color w:val="000000"/>
          <w:sz w:val="28"/>
          <w:szCs w:val="28"/>
          <w:highlight w:val="white"/>
        </w:rPr>
        <w:t>в управление по работе с территориями администрации Уссурийского городского округа Приморского края</w:t>
      </w:r>
      <w:r>
        <w:rPr>
          <w:rFonts w:ascii="Times New Roman" w:hAnsi="Times New Roman"/>
          <w:color w:val="000000"/>
          <w:sz w:val="28"/>
          <w:szCs w:val="28"/>
        </w:rPr>
        <w:t xml:space="preserve"> </w:t>
      </w:r>
      <w:r>
        <w:rPr>
          <w:rFonts w:ascii="Times New Roman" w:hAnsi="Times New Roman"/>
          <w:color w:val="000000"/>
          <w:sz w:val="28"/>
          <w:szCs w:val="28"/>
          <w:highlight w:val="white"/>
        </w:rPr>
        <w:t>в целях организации работы</w:t>
      </w:r>
      <w:r>
        <w:rPr>
          <w:rFonts w:ascii="Times New Roman" w:hAnsi="Times New Roman"/>
          <w:sz w:val="28"/>
          <w:szCs w:val="28"/>
        </w:rPr>
        <w:t xml:space="preserve"> по доставке.</w:t>
      </w:r>
    </w:p>
    <w:p w:rsidR="00B52DE3" w:rsidRDefault="00DE73E3">
      <w:pPr>
        <w:spacing w:after="0" w:line="360" w:lineRule="auto"/>
        <w:ind w:firstLine="709"/>
        <w:jc w:val="both"/>
        <w:rPr>
          <w:rFonts w:ascii="Times New Roman" w:hAnsi="Times New Roman"/>
          <w:sz w:val="28"/>
          <w:szCs w:val="28"/>
        </w:rPr>
      </w:pPr>
      <w:r>
        <w:rPr>
          <w:rFonts w:ascii="Times New Roman" w:eastAsia="source han sans cn regular" w:hAnsi="Times New Roman"/>
          <w:bCs/>
          <w:sz w:val="28"/>
          <w:szCs w:val="28"/>
          <w:lang w:bidi="ru-RU"/>
        </w:rPr>
        <w:t>оказывается бесплатная психологическая помощь, тренинги психиатров, по необходимости психотерапевт;</w:t>
      </w:r>
    </w:p>
    <w:p w:rsidR="00B52DE3" w:rsidRDefault="00DE73E3">
      <w:pPr>
        <w:spacing w:after="0" w:line="360" w:lineRule="auto"/>
        <w:ind w:firstLine="709"/>
        <w:jc w:val="both"/>
        <w:rPr>
          <w:rFonts w:ascii="Times New Roman" w:hAnsi="Times New Roman"/>
          <w:sz w:val="28"/>
          <w:szCs w:val="28"/>
        </w:rPr>
      </w:pPr>
      <w:r>
        <w:rPr>
          <w:rFonts w:ascii="Times New Roman" w:eastAsia="source han sans cn regular" w:hAnsi="Times New Roman"/>
          <w:bCs/>
          <w:sz w:val="28"/>
          <w:szCs w:val="28"/>
          <w:lang w:bidi="ru-RU"/>
        </w:rPr>
        <w:t>оказано содействие в решении 17 вопросов трудовых отношений по прежнему месту работы;</w:t>
      </w:r>
    </w:p>
    <w:p w:rsidR="00B52DE3" w:rsidRDefault="00DE73E3">
      <w:pPr>
        <w:spacing w:after="0" w:line="360" w:lineRule="auto"/>
        <w:ind w:firstLine="709"/>
        <w:jc w:val="both"/>
        <w:rPr>
          <w:rFonts w:ascii="Times New Roman" w:hAnsi="Times New Roman"/>
          <w:sz w:val="28"/>
          <w:szCs w:val="28"/>
        </w:rPr>
      </w:pPr>
      <w:r>
        <w:rPr>
          <w:rFonts w:ascii="Times New Roman" w:hAnsi="Times New Roman"/>
          <w:sz w:val="28"/>
          <w:szCs w:val="28"/>
        </w:rPr>
        <w:t>оказана консультативная помощь в части получения боевых, денежного довольствия, справок 2 НДФЛ, удостоверения и льгот для ветеранов боевых действий.</w:t>
      </w:r>
    </w:p>
    <w:p w:rsidR="00B52DE3" w:rsidRDefault="00DE73E3">
      <w:pPr>
        <w:spacing w:after="0" w:line="360" w:lineRule="auto"/>
        <w:ind w:firstLine="709"/>
        <w:jc w:val="both"/>
        <w:rPr>
          <w:rFonts w:ascii="Times New Roman" w:hAnsi="Times New Roman"/>
          <w:sz w:val="28"/>
          <w:szCs w:val="28"/>
        </w:rPr>
      </w:pPr>
      <w:r>
        <w:rPr>
          <w:rFonts w:ascii="Times New Roman" w:eastAsia="Times New Roman" w:hAnsi="Times New Roman" w:cs="Times New Roman"/>
          <w:color w:val="000000"/>
          <w:sz w:val="28"/>
          <w:szCs w:val="28"/>
        </w:rPr>
        <w:t>Организованы 6 встреч с супругами и матерями военнослужащих, погибших в ходе выполнения боевых задач СВО, с родственниками мобилизованных граждан при главе Уссурийского городского округа, заместителями главы.</w:t>
      </w:r>
    </w:p>
    <w:p w:rsidR="00B52DE3" w:rsidRDefault="00DE73E3">
      <w:pPr>
        <w:pStyle w:val="Heading2"/>
        <w:jc w:val="center"/>
        <w:rPr>
          <w:rFonts w:ascii="Times New Roman" w:hAnsi="Times New Roman"/>
          <w:i w:val="0"/>
          <w:iCs w:val="0"/>
        </w:rPr>
      </w:pPr>
      <w:bookmarkStart w:id="170" w:name="_Toc156"/>
      <w:r>
        <w:rPr>
          <w:rFonts w:ascii="Times New Roman" w:hAnsi="Times New Roman"/>
          <w:i w:val="0"/>
          <w:iCs w:val="0"/>
        </w:rPr>
        <w:t>Доступная среда</w:t>
      </w:r>
      <w:bookmarkEnd w:id="170"/>
    </w:p>
    <w:p w:rsidR="00B52DE3" w:rsidRDefault="00B52DE3"/>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Объем финансирования предусмотренный в 2025 году на реализацию мероприятий программы составляет 4325,00</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тыс. руб. (средства местного бюджета). Средства краевого и федерального бюджетов в 2025 году на реализацию мероприятий программы не предусмотрены. По состоянию на 12.12.2025 г. освоено 4325,00тыс.  руб. (100 %).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рамках программы  выполнены следующие мероприятия:</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выполнены работы по капитальному ремонту крыльца с устройством пандуса (включая разработку ПСД) в следующих муниципальных учреждениях образования Уссурийского городского округа:</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муниципальном бюджетном общеобразовательном учреждении СОШ № 16 (корпус 2) г. Уссурийска Уссурийского городского округа Приморского края,</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муниципальном бюджетном общеобразовательном учреждении СОШ № 131 г. Уссурийска Уссурийского городского округа Приморского края,,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муниципальном бюджетном общеобразовательном учреждении СОШ № 22 г. Уссурийска Уссурийского городского округа Приморского края,</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муниципальном бюджетном общеобразовательном учреждении Гимназия № 29 г. Уссурийска Уссурийского городского округа Приморского края;</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приобретены и установлены тактильные таблички (вывески) с азбукой Брайля, </w:t>
      </w:r>
      <w:r>
        <w:rPr>
          <w:rFonts w:ascii="Times New Roman" w:eastAsia="Times New Roman" w:hAnsi="Times New Roman" w:cs="Times New Roman"/>
          <w:bCs/>
          <w:iCs/>
          <w:sz w:val="28"/>
          <w:szCs w:val="28"/>
        </w:rPr>
        <w:t xml:space="preserve">тактильные пиктограммы, системы вызова, тактильно-визуальные знаки, световые маячки в библиотеках </w:t>
      </w:r>
      <w:r>
        <w:rPr>
          <w:rFonts w:ascii="Times New Roman" w:eastAsia="Times New Roman" w:hAnsi="Times New Roman" w:cs="Times New Roman"/>
          <w:bCs/>
          <w:sz w:val="28"/>
          <w:szCs w:val="28"/>
        </w:rPr>
        <w:t>МБУК «Центральная библиотечная система» Уссурийского городского округа Приморского края.</w:t>
      </w:r>
      <w:r>
        <w:rPr>
          <w:rFonts w:ascii="Times New Roman" w:eastAsia="Times New Roman" w:hAnsi="Times New Roman" w:cs="Times New Roman"/>
          <w:b/>
          <w:bCs/>
          <w:i/>
          <w:iCs/>
          <w:sz w:val="28"/>
          <w:szCs w:val="28"/>
        </w:rPr>
        <w:t xml:space="preserve"> </w:t>
      </w:r>
      <w:r>
        <w:rPr>
          <w:rFonts w:ascii="Times New Roman" w:eastAsia="Times New Roman" w:hAnsi="Times New Roman" w:cs="Times New Roman"/>
          <w:bCs/>
          <w:sz w:val="28"/>
          <w:szCs w:val="28"/>
        </w:rPr>
        <w:t xml:space="preserve"> </w:t>
      </w:r>
    </w:p>
    <w:p w:rsidR="00B52DE3" w:rsidRDefault="00DE73E3">
      <w:pPr>
        <w:pStyle w:val="Heading2"/>
        <w:jc w:val="center"/>
        <w:rPr>
          <w:rFonts w:ascii="Times New Roman" w:hAnsi="Times New Roman"/>
          <w:i w:val="0"/>
          <w:iCs w:val="0"/>
        </w:rPr>
      </w:pPr>
      <w:bookmarkStart w:id="171" w:name="_Toc157"/>
      <w:r>
        <w:rPr>
          <w:rFonts w:ascii="Times New Roman" w:hAnsi="Times New Roman"/>
          <w:i w:val="0"/>
          <w:iCs w:val="0"/>
        </w:rPr>
        <w:t>Решение социальных вопросов в селах</w:t>
      </w:r>
      <w:bookmarkEnd w:id="171"/>
    </w:p>
    <w:p w:rsidR="00B52DE3" w:rsidRDefault="00B52DE3">
      <w:pPr>
        <w:widowControl w:val="0"/>
        <w:spacing w:after="0" w:line="360" w:lineRule="auto"/>
        <w:ind w:firstLine="709"/>
        <w:jc w:val="both"/>
        <w:rPr>
          <w:rFonts w:ascii="Times New Roman" w:hAnsi="Times New Roman" w:cs="Times New Roman"/>
          <w:sz w:val="28"/>
          <w:szCs w:val="28"/>
        </w:rPr>
      </w:pPr>
    </w:p>
    <w:p w:rsidR="00B52DE3" w:rsidRDefault="00DE73E3">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Управление по работе с территориями администрации Уссурийского городского округа Приморского края осуществляет координацию деятельности общественных формирований: Советов общественности сел, общественных объединений правоохранительной направленности (ООПН), </w:t>
      </w:r>
      <w:r>
        <w:rPr>
          <w:rFonts w:ascii="Times New Roman" w:eastAsia="Times New Roman" w:hAnsi="Times New Roman" w:cs="Times New Roman"/>
          <w:sz w:val="28"/>
          <w:szCs w:val="28"/>
        </w:rPr>
        <w:lastRenderedPageBreak/>
        <w:t xml:space="preserve">добровольных пожарных дружин (ДПД), Советов ветеранов, женсоветов, домовых и уличных комитетов, члены которых оказывают большую помощь в решении вопросов местного значения: в осуществлений </w:t>
      </w:r>
      <w:proofErr w:type="spellStart"/>
      <w:r>
        <w:rPr>
          <w:rFonts w:ascii="Times New Roman" w:eastAsia="Times New Roman" w:hAnsi="Times New Roman" w:cs="Times New Roman"/>
          <w:sz w:val="28"/>
          <w:szCs w:val="28"/>
        </w:rPr>
        <w:t>благоустроительных</w:t>
      </w:r>
      <w:proofErr w:type="spellEnd"/>
      <w:r>
        <w:rPr>
          <w:rFonts w:ascii="Times New Roman" w:eastAsia="Times New Roman" w:hAnsi="Times New Roman" w:cs="Times New Roman"/>
          <w:sz w:val="28"/>
          <w:szCs w:val="28"/>
        </w:rPr>
        <w:t xml:space="preserve"> работ, проведении рейдов по содержанию территории, оказании помощи в охране общественного порядка в селах, проведении работы с населением по погашению задолженности по оплате жилищно-коммунальных услуг и налогов, с</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 xml:space="preserve">неблагополучными семьями, проведении информационно-разъяснительной работы по вопросам благоустройства, соблюдения мер пожарной безопасности, организации общественно-массовых мероприятий. </w:t>
      </w:r>
    </w:p>
    <w:p w:rsidR="00B52DE3" w:rsidRDefault="00DE73E3">
      <w:pPr>
        <w:pStyle w:val="ConsPlusNonformat"/>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Осуществлялся прием жителей сельских населенных пунктов по личным вопросам согласно графикам, выдавались справки всех форм. Проводилась работа по рассмотрению поступивших обращений граждан, принятию мер к устранению недостатков и нарушений, указанных в обращениях, а также способствовавших им причин, подготовке ответов на обращения. </w:t>
      </w:r>
    </w:p>
    <w:p w:rsidR="00B52DE3" w:rsidRDefault="00DE73E3">
      <w:pPr>
        <w:pStyle w:val="ConsPlusNonformat"/>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целях повышения доступности и качества предоставления услуг Управлением по работе с территориями в 2025 году оказывалось содействие представителям МИ НФС России № 9 по Приморскому краю, Управлению Пенсионного фонда России по Уссурийскому городскому округу Приморского края, отделу по Уссурийскому городскому округу департамента труда и социального развития Приморского края, в осуществлении обслуживания населения в селах Уссурийского городского округа.</w:t>
      </w:r>
    </w:p>
    <w:p w:rsidR="00B52DE3" w:rsidRDefault="00DE73E3">
      <w:pPr>
        <w:pStyle w:val="ConsPlusNonformat"/>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В целях реализации </w:t>
      </w:r>
      <w:proofErr w:type="spellStart"/>
      <w:r>
        <w:rPr>
          <w:rFonts w:ascii="Times New Roman" w:eastAsia="Times New Roman" w:hAnsi="Times New Roman" w:cs="Times New Roman"/>
          <w:bCs/>
          <w:sz w:val="28"/>
          <w:szCs w:val="28"/>
        </w:rPr>
        <w:t>пилотного</w:t>
      </w:r>
      <w:proofErr w:type="spellEnd"/>
      <w:r>
        <w:rPr>
          <w:rFonts w:ascii="Times New Roman" w:eastAsia="Times New Roman" w:hAnsi="Times New Roman" w:cs="Times New Roman"/>
          <w:bCs/>
          <w:sz w:val="28"/>
          <w:szCs w:val="28"/>
        </w:rPr>
        <w:t xml:space="preserve"> проекта на территории Приморского края по повышению реальных доходов граждан, снижению уровня бедности, сотрудниками Управления на постоянной основе проводится информирование сельского населения об условиях и порядке заключения </w:t>
      </w:r>
      <w:r>
        <w:rPr>
          <w:rFonts w:ascii="Times New Roman" w:eastAsia="Times New Roman" w:hAnsi="Times New Roman" w:cs="Times New Roman"/>
          <w:bCs/>
          <w:sz w:val="28"/>
          <w:szCs w:val="28"/>
        </w:rPr>
        <w:lastRenderedPageBreak/>
        <w:t xml:space="preserve">социального контракта, с целью выявления граждан, с которыми возможно заключение социального контракта.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Проводится постоянная работа по анкетированию граждан, с целью выявления малоимущих семей, проживающих на территории Уссурийского городского округа. При обращении граждан в 2025 году, проводилось анкетирование, списки направлены в управление охраны здоровья, трудовых и социальных отношений. </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Осуществляется координация деятельности общественных формирований: Советов общественности сел, общественных объединений правоохранительной направленности (ООПН), добровольных пожарных дружин (ДПД), Советов ветеранов, женсоветов, домовых и уличных комитетов, члены которых оказывают большую помощь в решении вопросов местного значения:  в осуществлении </w:t>
      </w:r>
      <w:proofErr w:type="spellStart"/>
      <w:r>
        <w:rPr>
          <w:rFonts w:ascii="Times New Roman" w:eastAsia="Times New Roman" w:hAnsi="Times New Roman" w:cs="Times New Roman"/>
          <w:sz w:val="28"/>
          <w:szCs w:val="28"/>
        </w:rPr>
        <w:t>благоустроительных</w:t>
      </w:r>
      <w:proofErr w:type="spellEnd"/>
      <w:r>
        <w:rPr>
          <w:rFonts w:ascii="Times New Roman" w:eastAsia="Times New Roman" w:hAnsi="Times New Roman" w:cs="Times New Roman"/>
          <w:sz w:val="28"/>
          <w:szCs w:val="28"/>
        </w:rPr>
        <w:t xml:space="preserve"> работ, проведении рейдов по содержанию территории, оказании помощи в охране общественного порядка в селах, проведении работы с населением по погашению задолженности по оплате за жилищно-коммунальные услуги и налогов, с неблагополучными семьями, проведении информационно-разъяснительной работы по вопросам благоустройства, соблюдения мер пожарной безопасности, организации общественно-массовых мероприятий и других возникающих вопросах.</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2025 году в сельских населенных пунктах проводились заседания Советов общественности сел, на которые приглашались представители администрации Уссурийского городского округа, руководители предприятий и организаций всех форм собственности, расположенных на подведомственных территориях, и другие заинтересованные лица для решения вопросов жизнедеятельности сельских населенных пунктов.</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Созданные в сельских населенных пунктах общественные объединения правоохранительной направленности под руководством начальников отделов по работе с территориями осуществляли дежурства в общественных местах, </w:t>
      </w:r>
      <w:r>
        <w:rPr>
          <w:rFonts w:ascii="Times New Roman" w:eastAsia="Times New Roman" w:hAnsi="Times New Roman" w:cs="Times New Roman"/>
          <w:sz w:val="28"/>
          <w:szCs w:val="28"/>
        </w:rPr>
        <w:lastRenderedPageBreak/>
        <w:t>в том числе при проведении культурно-массовых мероприятий, с целью обеспечения охраны общественного порядка и профилактики правонарушений.</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Проводилась профилактическая работа с неблагополучными семьями: рейды по обследованию жилищно-бытовых и санитарно-гигиенических условий неблагополучных семей, профилактические беседы с участием членов Советов общественности, женсовета и других общественных формирований, педагогических работников, представителей общественности. Проводились рейды по запросам органов опеки и образовательных учреждений по обследованию сохранности жилых помещений, закрепленных за несовершеннолетними, оставшимися без попечения родителей.</w:t>
      </w:r>
    </w:p>
    <w:p w:rsidR="00B52DE3" w:rsidRDefault="00DE73E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течение квартала осуществлялся контроль за перевозкой людей общественным транспортом, своевременно решались текущие вопросы, возникающие по перевозке людей, составлялись акты по нарушениям движения автобусов.</w:t>
      </w:r>
    </w:p>
    <w:p w:rsidR="00B52DE3" w:rsidRDefault="00DE73E3">
      <w:pPr>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Особое внимание уделяется ветеранам Великой Отечественной войны. Отделами по работе с территориями организовываются поздравления ветеранов Великой Отечественной войны и ветеранов труда с днем рождения.</w:t>
      </w:r>
    </w:p>
    <w:p w:rsidR="00B52DE3" w:rsidRDefault="00DE73E3">
      <w:pPr>
        <w:spacing w:after="0" w:line="360" w:lineRule="auto"/>
        <w:ind w:firstLine="709"/>
        <w:contextualSpacing/>
        <w:jc w:val="both"/>
        <w:rPr>
          <w:rFonts w:ascii="Times New Roman" w:hAnsi="Times New Roman" w:cs="Times New Roman"/>
        </w:rPr>
      </w:pPr>
      <w:r>
        <w:rPr>
          <w:rFonts w:ascii="Times New Roman" w:eastAsia="Times New Roman" w:hAnsi="Times New Roman" w:cs="Times New Roman"/>
          <w:sz w:val="28"/>
          <w:szCs w:val="28"/>
        </w:rPr>
        <w:t>Внимание уделяется и одиноко проживающим престарелым людям, малоимущим, многодетным семьям и другим, социально незащищенным категориям граждан, которым оказывалась помощь в доставке лекарственных средств, дров и других предметов первой необходимости, в оформлении документов для получения льгот, предусмотренных законодательством РФ, по оплате за жилищно-коммунальные услуги, предоставлялись вещи, собранные жителями Уссурийского городского округа.</w:t>
      </w:r>
    </w:p>
    <w:p w:rsidR="00B52DE3" w:rsidRDefault="00DE73E3">
      <w:pPr>
        <w:spacing w:after="0" w:line="360" w:lineRule="auto"/>
        <w:ind w:firstLine="709"/>
        <w:jc w:val="both"/>
        <w:rPr>
          <w:rFonts w:ascii="Times New Roman" w:hAnsi="Times New Roman" w:cs="Times New Roman"/>
        </w:rPr>
      </w:pPr>
      <w:r>
        <w:rPr>
          <w:rFonts w:ascii="Times New Roman" w:eastAsia="Times New Roman" w:hAnsi="Times New Roman" w:cs="Times New Roman"/>
          <w:sz w:val="28"/>
          <w:szCs w:val="28"/>
        </w:rPr>
        <w:t xml:space="preserve"> </w:t>
      </w:r>
      <w:r>
        <w:rPr>
          <w:rFonts w:ascii="Times New Roman" w:eastAsia="Times New Roman" w:hAnsi="Times New Roman" w:cs="Times New Roman"/>
          <w:bCs/>
          <w:iCs/>
          <w:sz w:val="28"/>
          <w:szCs w:val="28"/>
        </w:rPr>
        <w:t xml:space="preserve">В рамках помощи </w:t>
      </w:r>
      <w:r>
        <w:rPr>
          <w:rFonts w:ascii="Times New Roman" w:eastAsia="Times New Roman" w:hAnsi="Times New Roman" w:cs="Times New Roman"/>
          <w:iCs/>
          <w:sz w:val="28"/>
          <w:szCs w:val="28"/>
        </w:rPr>
        <w:t xml:space="preserve">членам семей </w:t>
      </w:r>
      <w:r>
        <w:rPr>
          <w:rFonts w:ascii="Times New Roman" w:eastAsia="Times New Roman" w:hAnsi="Times New Roman" w:cs="Times New Roman"/>
          <w:bCs/>
          <w:iCs/>
          <w:sz w:val="28"/>
          <w:szCs w:val="28"/>
        </w:rPr>
        <w:t xml:space="preserve">мобилизованных или поступивших на военную службу по контракту, либо заключивших контракт о добровольном содействии в выполнении задач, возложенных </w:t>
      </w:r>
      <w:r>
        <w:rPr>
          <w:rFonts w:ascii="Times New Roman" w:eastAsia="Times New Roman" w:hAnsi="Times New Roman" w:cs="Times New Roman"/>
          <w:bCs/>
          <w:iCs/>
          <w:sz w:val="28"/>
          <w:szCs w:val="28"/>
        </w:rPr>
        <w:lastRenderedPageBreak/>
        <w:t>на Вооруженные Силы РФ, семьи участников СВО обеспечиваются социальной помощью, в том числе семьи обеспечиваются бесплатным твердым топливом (дровами).</w:t>
      </w:r>
    </w:p>
    <w:p w:rsidR="00B52DE3" w:rsidRDefault="00DE73E3">
      <w:pPr>
        <w:pStyle w:val="Heading2"/>
        <w:jc w:val="center"/>
        <w:rPr>
          <w:rFonts w:ascii="Times New Roman" w:hAnsi="Times New Roman"/>
          <w:i w:val="0"/>
          <w:iCs w:val="0"/>
        </w:rPr>
      </w:pPr>
      <w:bookmarkStart w:id="172" w:name="_Toc158"/>
      <w:r>
        <w:rPr>
          <w:rStyle w:val="220"/>
          <w:b/>
          <w:bCs/>
          <w:i w:val="0"/>
          <w:iCs w:val="0"/>
          <w:sz w:val="28"/>
          <w:szCs w:val="28"/>
          <w:shd w:val="clear" w:color="auto" w:fill="auto"/>
        </w:rPr>
        <w:t>Осуществление деятельности по обращению с животными без владельцев, обитающими на территории городского округа</w:t>
      </w:r>
      <w:bookmarkEnd w:id="172"/>
    </w:p>
    <w:p w:rsidR="00B52DE3" w:rsidRDefault="00B52DE3">
      <w:pPr>
        <w:pStyle w:val="210"/>
        <w:shd w:val="clear" w:color="auto" w:fill="auto"/>
        <w:tabs>
          <w:tab w:val="left" w:pos="1222"/>
        </w:tabs>
        <w:spacing w:before="0" w:after="0" w:line="360" w:lineRule="auto"/>
        <w:ind w:left="2411" w:firstLine="0"/>
        <w:jc w:val="center"/>
        <w:outlineLvl w:val="9"/>
        <w:rPr>
          <w:b w:val="0"/>
          <w:color w:val="FF0000"/>
          <w:sz w:val="28"/>
          <w:szCs w:val="28"/>
        </w:rPr>
      </w:pPr>
    </w:p>
    <w:p w:rsidR="00B52DE3" w:rsidRDefault="00DE73E3">
      <w:pPr>
        <w:widowControl w:val="0"/>
        <w:spacing w:after="0" w:line="360" w:lineRule="auto"/>
        <w:ind w:firstLine="708"/>
        <w:jc w:val="both"/>
        <w:rPr>
          <w:rFonts w:ascii="Times New Roman" w:hAnsi="Times New Roman" w:cs="Times New Roman"/>
        </w:rPr>
      </w:pPr>
      <w:r>
        <w:rPr>
          <w:rFonts w:ascii="Times New Roman" w:eastAsia="Times New Roman" w:hAnsi="Times New Roman" w:cs="Times New Roman"/>
          <w:color w:val="000000"/>
          <w:sz w:val="28"/>
          <w:szCs w:val="28"/>
        </w:rPr>
        <w:t>В рамка реализации мер, направленных на повышение эффективности деятельности по обращению с животными без владельцев проведен отлов количестве 992 головы.</w:t>
      </w:r>
    </w:p>
    <w:p w:rsidR="00B52DE3" w:rsidRDefault="00DE73E3">
      <w:pPr>
        <w:widowControl w:val="0"/>
        <w:spacing w:after="0" w:line="360" w:lineRule="auto"/>
        <w:ind w:firstLine="708"/>
        <w:jc w:val="center"/>
        <w:rPr>
          <w:rFonts w:ascii="Times New Roman" w:hAnsi="Times New Roman" w:cs="Times New Roman"/>
        </w:rPr>
      </w:pPr>
      <w:r>
        <w:rPr>
          <w:rFonts w:ascii="Times New Roman" w:eastAsia="Times New Roman" w:hAnsi="Times New Roman" w:cs="Times New Roman"/>
          <w:sz w:val="28"/>
          <w:szCs w:val="28"/>
        </w:rPr>
        <w:t>_______________________________________________</w:t>
      </w:r>
    </w:p>
    <w:sectPr w:rsidR="00B52DE3" w:rsidSect="00B52DE3">
      <w:headerReference w:type="even" r:id="rId18"/>
      <w:headerReference w:type="default" r:id="rId19"/>
      <w:headerReference w:type="first" r:id="rId20"/>
      <w:pgSz w:w="11906" w:h="16838"/>
      <w:pgMar w:top="1134" w:right="850" w:bottom="1134" w:left="1701" w:header="708" w:footer="0" w:gutter="0"/>
      <w:cols w:space="1701"/>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671DA35" w16cex:dateUtc="2026-03-31T06:00:00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0671DA3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AEC" w:rsidRDefault="00BB0AEC">
      <w:pPr>
        <w:spacing w:after="0" w:line="240" w:lineRule="auto"/>
      </w:pPr>
      <w:r>
        <w:separator/>
      </w:r>
    </w:p>
  </w:endnote>
  <w:endnote w:type="continuationSeparator" w:id="0">
    <w:p w:rsidR="00BB0AEC" w:rsidRDefault="00BB0A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w:panose1 w:val="020B0502040504020204"/>
    <w:charset w:val="CC"/>
    <w:family w:val="swiss"/>
    <w:pitch w:val="variable"/>
    <w:sig w:usb0="E00002FF" w:usb1="4000201F" w:usb2="08000029"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charset w:val="00"/>
    <w:family w:val="auto"/>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Droid Sans Devanagari">
    <w:altName w:val="DejaVu Sans Condensed"/>
    <w:charset w:val="00"/>
    <w:family w:val="auto"/>
    <w:pitch w:val="default"/>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Mono">
    <w:panose1 w:val="02070409020205020404"/>
    <w:charset w:val="CC"/>
    <w:family w:val="modern"/>
    <w:pitch w:val="fixed"/>
    <w:sig w:usb0="E0000AFF" w:usb1="400078FF" w:usb2="00000001" w:usb3="00000000" w:csb0="000001BF" w:csb1="00000000"/>
  </w:font>
  <w:font w:name="Liberation Serif">
    <w:panose1 w:val="02020603050405020304"/>
    <w:charset w:val="CC"/>
    <w:family w:val="roman"/>
    <w:pitch w:val="variable"/>
    <w:sig w:usb0="E0000AFF" w:usb1="500078FF" w:usb2="00000021" w:usb3="00000000" w:csb0="000001BF" w:csb1="00000000"/>
  </w:font>
  <w:font w:name="Droid Sans Fallback">
    <w:charset w:val="00"/>
    <w:family w:val="auto"/>
    <w:pitch w:val="default"/>
    <w:sig w:usb0="00000000" w:usb1="00000000" w:usb2="00000000" w:usb3="00000000" w:csb0="00000000" w:csb1="00000000"/>
  </w:font>
  <w:font w:name="source han sans cn regular">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AEC" w:rsidRDefault="00BB0AEC">
      <w:pPr>
        <w:spacing w:after="0" w:line="240" w:lineRule="auto"/>
      </w:pPr>
      <w:r>
        <w:separator/>
      </w:r>
    </w:p>
  </w:footnote>
  <w:footnote w:type="continuationSeparator" w:id="0">
    <w:p w:rsidR="00BB0AEC" w:rsidRDefault="00BB0A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33C" w:rsidRDefault="00AA73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33C" w:rsidRDefault="0094277C">
    <w:pPr>
      <w:pStyle w:val="Header"/>
      <w:jc w:val="center"/>
    </w:pPr>
    <w:fldSimple w:instr=" PAGE ">
      <w:r w:rsidR="001A5B25">
        <w:rPr>
          <w:noProof/>
        </w:rPr>
        <w:t>12</w:t>
      </w:r>
    </w:fldSimple>
  </w:p>
  <w:p w:rsidR="00AA733C" w:rsidRDefault="00AA733C">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33C" w:rsidRDefault="00AA733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273AE"/>
    <w:multiLevelType w:val="hybridMultilevel"/>
    <w:tmpl w:val="6A781440"/>
    <w:lvl w:ilvl="0" w:tplc="46522EBA">
      <w:start w:val="1"/>
      <w:numFmt w:val="none"/>
      <w:isLgl/>
      <w:suff w:val="nothing"/>
      <w:lvlText w:val="%1"/>
      <w:lvlJc w:val="left"/>
      <w:pPr>
        <w:tabs>
          <w:tab w:val="num" w:pos="0"/>
        </w:tabs>
        <w:ind w:left="0" w:firstLine="0"/>
      </w:pPr>
    </w:lvl>
    <w:lvl w:ilvl="1" w:tplc="F468DC26">
      <w:start w:val="1"/>
      <w:numFmt w:val="none"/>
      <w:isLgl/>
      <w:suff w:val="nothing"/>
      <w:lvlText w:val="%2"/>
      <w:lvlJc w:val="left"/>
      <w:pPr>
        <w:tabs>
          <w:tab w:val="num" w:pos="0"/>
        </w:tabs>
        <w:ind w:left="0" w:firstLine="0"/>
      </w:pPr>
    </w:lvl>
    <w:lvl w:ilvl="2" w:tplc="30F0F798">
      <w:start w:val="1"/>
      <w:numFmt w:val="none"/>
      <w:isLgl/>
      <w:suff w:val="nothing"/>
      <w:lvlText w:val="%3"/>
      <w:lvlJc w:val="left"/>
      <w:pPr>
        <w:tabs>
          <w:tab w:val="num" w:pos="0"/>
        </w:tabs>
        <w:ind w:left="0" w:firstLine="0"/>
      </w:pPr>
    </w:lvl>
    <w:lvl w:ilvl="3" w:tplc="25FA605E">
      <w:start w:val="1"/>
      <w:numFmt w:val="none"/>
      <w:isLgl/>
      <w:suff w:val="nothing"/>
      <w:lvlText w:val="%4"/>
      <w:lvlJc w:val="left"/>
      <w:pPr>
        <w:tabs>
          <w:tab w:val="num" w:pos="0"/>
        </w:tabs>
        <w:ind w:left="0" w:firstLine="0"/>
      </w:pPr>
    </w:lvl>
    <w:lvl w:ilvl="4" w:tplc="86446158">
      <w:start w:val="1"/>
      <w:numFmt w:val="none"/>
      <w:isLgl/>
      <w:suff w:val="nothing"/>
      <w:lvlText w:val="%5"/>
      <w:lvlJc w:val="left"/>
      <w:pPr>
        <w:tabs>
          <w:tab w:val="num" w:pos="0"/>
        </w:tabs>
        <w:ind w:left="0" w:firstLine="0"/>
      </w:pPr>
    </w:lvl>
    <w:lvl w:ilvl="5" w:tplc="D0F043EA">
      <w:start w:val="1"/>
      <w:numFmt w:val="none"/>
      <w:isLgl/>
      <w:suff w:val="nothing"/>
      <w:lvlText w:val="%6"/>
      <w:lvlJc w:val="left"/>
      <w:pPr>
        <w:tabs>
          <w:tab w:val="num" w:pos="0"/>
        </w:tabs>
        <w:ind w:left="0" w:firstLine="0"/>
      </w:pPr>
    </w:lvl>
    <w:lvl w:ilvl="6" w:tplc="CF4418D2">
      <w:start w:val="1"/>
      <w:numFmt w:val="none"/>
      <w:isLgl/>
      <w:suff w:val="nothing"/>
      <w:lvlText w:val="%7"/>
      <w:lvlJc w:val="left"/>
      <w:pPr>
        <w:tabs>
          <w:tab w:val="num" w:pos="0"/>
        </w:tabs>
        <w:ind w:left="0" w:firstLine="0"/>
      </w:pPr>
    </w:lvl>
    <w:lvl w:ilvl="7" w:tplc="ACD02DF8">
      <w:start w:val="1"/>
      <w:numFmt w:val="none"/>
      <w:isLgl/>
      <w:suff w:val="nothing"/>
      <w:lvlText w:val="%8"/>
      <w:lvlJc w:val="left"/>
      <w:pPr>
        <w:tabs>
          <w:tab w:val="num" w:pos="0"/>
        </w:tabs>
        <w:ind w:left="0" w:firstLine="0"/>
      </w:pPr>
    </w:lvl>
    <w:lvl w:ilvl="8" w:tplc="E41EE08E">
      <w:start w:val="1"/>
      <w:numFmt w:val="none"/>
      <w:isLgl/>
      <w:suff w:val="nothing"/>
      <w:lvlText w:val="%9"/>
      <w:lvlJc w:val="left"/>
      <w:pPr>
        <w:tabs>
          <w:tab w:val="num" w:pos="0"/>
        </w:tabs>
        <w:ind w:left="0" w:firstLine="0"/>
      </w:pPr>
    </w:lvl>
  </w:abstractNum>
  <w:abstractNum w:abstractNumId="1">
    <w:nsid w:val="08B24B1D"/>
    <w:multiLevelType w:val="hybridMultilevel"/>
    <w:tmpl w:val="D98E9E86"/>
    <w:lvl w:ilvl="0" w:tplc="FDD8F1FE">
      <w:start w:val="1"/>
      <w:numFmt w:val="bullet"/>
      <w:isLgl/>
      <w:lvlText w:val=""/>
      <w:lvlJc w:val="left"/>
      <w:pPr>
        <w:tabs>
          <w:tab w:val="num" w:pos="0"/>
        </w:tabs>
        <w:ind w:left="1429" w:hanging="360"/>
      </w:pPr>
      <w:rPr>
        <w:rFonts w:ascii="Symbol" w:hAnsi="Symbol" w:cs="Symbol" w:hint="default"/>
      </w:rPr>
    </w:lvl>
    <w:lvl w:ilvl="1" w:tplc="5BA05D3C">
      <w:start w:val="1"/>
      <w:numFmt w:val="bullet"/>
      <w:isLgl/>
      <w:lvlText w:val="o"/>
      <w:lvlJc w:val="left"/>
      <w:pPr>
        <w:tabs>
          <w:tab w:val="num" w:pos="0"/>
        </w:tabs>
        <w:ind w:left="2149" w:hanging="360"/>
      </w:pPr>
      <w:rPr>
        <w:rFonts w:ascii="Courier New" w:hAnsi="Courier New" w:cs="Courier New" w:hint="default"/>
      </w:rPr>
    </w:lvl>
    <w:lvl w:ilvl="2" w:tplc="4FBA24DA">
      <w:start w:val="1"/>
      <w:numFmt w:val="bullet"/>
      <w:isLgl/>
      <w:lvlText w:val=""/>
      <w:lvlJc w:val="left"/>
      <w:pPr>
        <w:tabs>
          <w:tab w:val="num" w:pos="0"/>
        </w:tabs>
        <w:ind w:left="2869" w:hanging="360"/>
      </w:pPr>
      <w:rPr>
        <w:rFonts w:ascii="Wingdings" w:hAnsi="Wingdings" w:cs="Wingdings" w:hint="default"/>
      </w:rPr>
    </w:lvl>
    <w:lvl w:ilvl="3" w:tplc="01B82AE8">
      <w:start w:val="1"/>
      <w:numFmt w:val="bullet"/>
      <w:isLgl/>
      <w:lvlText w:val=""/>
      <w:lvlJc w:val="left"/>
      <w:pPr>
        <w:tabs>
          <w:tab w:val="num" w:pos="0"/>
        </w:tabs>
        <w:ind w:left="3589" w:hanging="360"/>
      </w:pPr>
      <w:rPr>
        <w:rFonts w:ascii="Symbol" w:hAnsi="Symbol" w:cs="Symbol" w:hint="default"/>
      </w:rPr>
    </w:lvl>
    <w:lvl w:ilvl="4" w:tplc="6616E9AA">
      <w:start w:val="1"/>
      <w:numFmt w:val="bullet"/>
      <w:isLgl/>
      <w:lvlText w:val="o"/>
      <w:lvlJc w:val="left"/>
      <w:pPr>
        <w:tabs>
          <w:tab w:val="num" w:pos="0"/>
        </w:tabs>
        <w:ind w:left="4309" w:hanging="360"/>
      </w:pPr>
      <w:rPr>
        <w:rFonts w:ascii="Courier New" w:hAnsi="Courier New" w:cs="Courier New" w:hint="default"/>
      </w:rPr>
    </w:lvl>
    <w:lvl w:ilvl="5" w:tplc="C0A04D6A">
      <w:start w:val="1"/>
      <w:numFmt w:val="bullet"/>
      <w:isLgl/>
      <w:lvlText w:val=""/>
      <w:lvlJc w:val="left"/>
      <w:pPr>
        <w:tabs>
          <w:tab w:val="num" w:pos="0"/>
        </w:tabs>
        <w:ind w:left="5029" w:hanging="360"/>
      </w:pPr>
      <w:rPr>
        <w:rFonts w:ascii="Wingdings" w:hAnsi="Wingdings" w:cs="Wingdings" w:hint="default"/>
      </w:rPr>
    </w:lvl>
    <w:lvl w:ilvl="6" w:tplc="640E09AE">
      <w:start w:val="1"/>
      <w:numFmt w:val="bullet"/>
      <w:isLgl/>
      <w:lvlText w:val=""/>
      <w:lvlJc w:val="left"/>
      <w:pPr>
        <w:tabs>
          <w:tab w:val="num" w:pos="0"/>
        </w:tabs>
        <w:ind w:left="5749" w:hanging="360"/>
      </w:pPr>
      <w:rPr>
        <w:rFonts w:ascii="Symbol" w:hAnsi="Symbol" w:cs="Symbol" w:hint="default"/>
      </w:rPr>
    </w:lvl>
    <w:lvl w:ilvl="7" w:tplc="C820F4E2">
      <w:start w:val="1"/>
      <w:numFmt w:val="bullet"/>
      <w:isLgl/>
      <w:lvlText w:val="o"/>
      <w:lvlJc w:val="left"/>
      <w:pPr>
        <w:tabs>
          <w:tab w:val="num" w:pos="0"/>
        </w:tabs>
        <w:ind w:left="6469" w:hanging="360"/>
      </w:pPr>
      <w:rPr>
        <w:rFonts w:ascii="Courier New" w:hAnsi="Courier New" w:cs="Courier New" w:hint="default"/>
      </w:rPr>
    </w:lvl>
    <w:lvl w:ilvl="8" w:tplc="12DE17CE">
      <w:start w:val="1"/>
      <w:numFmt w:val="bullet"/>
      <w:isLgl/>
      <w:lvlText w:val=""/>
      <w:lvlJc w:val="left"/>
      <w:pPr>
        <w:tabs>
          <w:tab w:val="num" w:pos="0"/>
        </w:tabs>
        <w:ind w:left="7189" w:hanging="360"/>
      </w:pPr>
      <w:rPr>
        <w:rFonts w:ascii="Wingdings" w:hAnsi="Wingdings" w:cs="Wingdings" w:hint="default"/>
      </w:rPr>
    </w:lvl>
  </w:abstractNum>
  <w:abstractNum w:abstractNumId="2">
    <w:nsid w:val="0AFD4CEF"/>
    <w:multiLevelType w:val="hybridMultilevel"/>
    <w:tmpl w:val="67D00E5C"/>
    <w:lvl w:ilvl="0" w:tplc="3942E546">
      <w:start w:val="1"/>
      <w:numFmt w:val="decimal"/>
      <w:isLgl/>
      <w:lvlText w:val="%1."/>
      <w:lvlJc w:val="left"/>
      <w:pPr>
        <w:tabs>
          <w:tab w:val="num" w:pos="0"/>
        </w:tabs>
        <w:ind w:left="720" w:hanging="360"/>
      </w:pPr>
    </w:lvl>
    <w:lvl w:ilvl="1" w:tplc="2A6A89A4">
      <w:start w:val="1"/>
      <w:numFmt w:val="lowerLetter"/>
      <w:isLgl/>
      <w:lvlText w:val="%2."/>
      <w:lvlJc w:val="left"/>
      <w:pPr>
        <w:tabs>
          <w:tab w:val="num" w:pos="0"/>
        </w:tabs>
        <w:ind w:left="1440" w:hanging="360"/>
      </w:pPr>
    </w:lvl>
    <w:lvl w:ilvl="2" w:tplc="CA48D7A4">
      <w:start w:val="1"/>
      <w:numFmt w:val="lowerRoman"/>
      <w:isLgl/>
      <w:lvlText w:val="%3."/>
      <w:lvlJc w:val="right"/>
      <w:pPr>
        <w:tabs>
          <w:tab w:val="num" w:pos="0"/>
        </w:tabs>
        <w:ind w:left="2160" w:hanging="180"/>
      </w:pPr>
    </w:lvl>
    <w:lvl w:ilvl="3" w:tplc="6950A8AE">
      <w:start w:val="1"/>
      <w:numFmt w:val="decimal"/>
      <w:isLgl/>
      <w:lvlText w:val="%4."/>
      <w:lvlJc w:val="left"/>
      <w:pPr>
        <w:tabs>
          <w:tab w:val="num" w:pos="0"/>
        </w:tabs>
        <w:ind w:left="2880" w:hanging="360"/>
      </w:pPr>
    </w:lvl>
    <w:lvl w:ilvl="4" w:tplc="875EBA24">
      <w:start w:val="1"/>
      <w:numFmt w:val="lowerLetter"/>
      <w:isLgl/>
      <w:lvlText w:val="%5."/>
      <w:lvlJc w:val="left"/>
      <w:pPr>
        <w:tabs>
          <w:tab w:val="num" w:pos="0"/>
        </w:tabs>
        <w:ind w:left="3600" w:hanging="360"/>
      </w:pPr>
    </w:lvl>
    <w:lvl w:ilvl="5" w:tplc="6E8206CE">
      <w:start w:val="1"/>
      <w:numFmt w:val="lowerRoman"/>
      <w:isLgl/>
      <w:lvlText w:val="%6."/>
      <w:lvlJc w:val="right"/>
      <w:pPr>
        <w:tabs>
          <w:tab w:val="num" w:pos="0"/>
        </w:tabs>
        <w:ind w:left="4320" w:hanging="180"/>
      </w:pPr>
    </w:lvl>
    <w:lvl w:ilvl="6" w:tplc="48182578">
      <w:start w:val="1"/>
      <w:numFmt w:val="decimal"/>
      <w:isLgl/>
      <w:lvlText w:val="%7."/>
      <w:lvlJc w:val="left"/>
      <w:pPr>
        <w:tabs>
          <w:tab w:val="num" w:pos="0"/>
        </w:tabs>
        <w:ind w:left="5040" w:hanging="360"/>
      </w:pPr>
    </w:lvl>
    <w:lvl w:ilvl="7" w:tplc="CB783F86">
      <w:start w:val="1"/>
      <w:numFmt w:val="lowerLetter"/>
      <w:isLgl/>
      <w:lvlText w:val="%8."/>
      <w:lvlJc w:val="left"/>
      <w:pPr>
        <w:tabs>
          <w:tab w:val="num" w:pos="0"/>
        </w:tabs>
        <w:ind w:left="5760" w:hanging="360"/>
      </w:pPr>
    </w:lvl>
    <w:lvl w:ilvl="8" w:tplc="66EE3DEC">
      <w:start w:val="1"/>
      <w:numFmt w:val="lowerRoman"/>
      <w:isLgl/>
      <w:lvlText w:val="%9."/>
      <w:lvlJc w:val="right"/>
      <w:pPr>
        <w:tabs>
          <w:tab w:val="num" w:pos="0"/>
        </w:tabs>
        <w:ind w:left="6480" w:hanging="180"/>
      </w:pPr>
    </w:lvl>
  </w:abstractNum>
  <w:abstractNum w:abstractNumId="3">
    <w:nsid w:val="0D3A14E4"/>
    <w:multiLevelType w:val="hybridMultilevel"/>
    <w:tmpl w:val="CE926E14"/>
    <w:lvl w:ilvl="0" w:tplc="7AB6249E">
      <w:start w:val="1"/>
      <w:numFmt w:val="decimal"/>
      <w:isLgl/>
      <w:lvlText w:val="%1."/>
      <w:lvlJc w:val="left"/>
      <w:pPr>
        <w:tabs>
          <w:tab w:val="num" w:pos="0"/>
        </w:tabs>
        <w:ind w:left="709" w:hanging="360"/>
      </w:pPr>
      <w:rPr>
        <w:sz w:val="28"/>
      </w:rPr>
    </w:lvl>
    <w:lvl w:ilvl="1" w:tplc="2E0843C0">
      <w:start w:val="1"/>
      <w:numFmt w:val="lowerLetter"/>
      <w:isLgl/>
      <w:lvlText w:val="%2."/>
      <w:lvlJc w:val="left"/>
      <w:pPr>
        <w:tabs>
          <w:tab w:val="num" w:pos="0"/>
        </w:tabs>
        <w:ind w:left="1429" w:hanging="360"/>
      </w:pPr>
    </w:lvl>
    <w:lvl w:ilvl="2" w:tplc="6CDA80CA">
      <w:start w:val="1"/>
      <w:numFmt w:val="lowerRoman"/>
      <w:isLgl/>
      <w:lvlText w:val="%3."/>
      <w:lvlJc w:val="right"/>
      <w:pPr>
        <w:tabs>
          <w:tab w:val="num" w:pos="0"/>
        </w:tabs>
        <w:ind w:left="2149" w:hanging="180"/>
      </w:pPr>
    </w:lvl>
    <w:lvl w:ilvl="3" w:tplc="49245528">
      <w:start w:val="1"/>
      <w:numFmt w:val="decimal"/>
      <w:isLgl/>
      <w:lvlText w:val="%4."/>
      <w:lvlJc w:val="left"/>
      <w:pPr>
        <w:tabs>
          <w:tab w:val="num" w:pos="0"/>
        </w:tabs>
        <w:ind w:left="2869" w:hanging="360"/>
      </w:pPr>
    </w:lvl>
    <w:lvl w:ilvl="4" w:tplc="3E1C2FB6">
      <w:start w:val="1"/>
      <w:numFmt w:val="lowerLetter"/>
      <w:isLgl/>
      <w:lvlText w:val="%5."/>
      <w:lvlJc w:val="left"/>
      <w:pPr>
        <w:tabs>
          <w:tab w:val="num" w:pos="0"/>
        </w:tabs>
        <w:ind w:left="3589" w:hanging="360"/>
      </w:pPr>
    </w:lvl>
    <w:lvl w:ilvl="5" w:tplc="DC9E5A58">
      <w:start w:val="1"/>
      <w:numFmt w:val="lowerRoman"/>
      <w:isLgl/>
      <w:lvlText w:val="%6."/>
      <w:lvlJc w:val="right"/>
      <w:pPr>
        <w:tabs>
          <w:tab w:val="num" w:pos="0"/>
        </w:tabs>
        <w:ind w:left="4309" w:hanging="180"/>
      </w:pPr>
    </w:lvl>
    <w:lvl w:ilvl="6" w:tplc="68EA5E34">
      <w:start w:val="1"/>
      <w:numFmt w:val="decimal"/>
      <w:isLgl/>
      <w:lvlText w:val="%7."/>
      <w:lvlJc w:val="left"/>
      <w:pPr>
        <w:tabs>
          <w:tab w:val="num" w:pos="0"/>
        </w:tabs>
        <w:ind w:left="5029" w:hanging="360"/>
      </w:pPr>
    </w:lvl>
    <w:lvl w:ilvl="7" w:tplc="5F4E8F5E">
      <w:start w:val="1"/>
      <w:numFmt w:val="lowerLetter"/>
      <w:isLgl/>
      <w:lvlText w:val="%8."/>
      <w:lvlJc w:val="left"/>
      <w:pPr>
        <w:tabs>
          <w:tab w:val="num" w:pos="0"/>
        </w:tabs>
        <w:ind w:left="5749" w:hanging="360"/>
      </w:pPr>
    </w:lvl>
    <w:lvl w:ilvl="8" w:tplc="8EACDED4">
      <w:start w:val="1"/>
      <w:numFmt w:val="lowerRoman"/>
      <w:isLgl/>
      <w:lvlText w:val="%9."/>
      <w:lvlJc w:val="right"/>
      <w:pPr>
        <w:tabs>
          <w:tab w:val="num" w:pos="0"/>
        </w:tabs>
        <w:ind w:left="6469" w:hanging="180"/>
      </w:pPr>
    </w:lvl>
  </w:abstractNum>
  <w:abstractNum w:abstractNumId="4">
    <w:nsid w:val="122265C2"/>
    <w:multiLevelType w:val="hybridMultilevel"/>
    <w:tmpl w:val="3EEE916A"/>
    <w:lvl w:ilvl="0" w:tplc="0EB23306">
      <w:start w:val="1"/>
      <w:numFmt w:val="decimal"/>
      <w:lvlText w:val="%1."/>
      <w:lvlJc w:val="left"/>
      <w:pPr>
        <w:ind w:left="1418" w:hanging="360"/>
      </w:pPr>
    </w:lvl>
    <w:lvl w:ilvl="1" w:tplc="D28A9BC0">
      <w:start w:val="1"/>
      <w:numFmt w:val="lowerLetter"/>
      <w:lvlText w:val="%2."/>
      <w:lvlJc w:val="left"/>
      <w:pPr>
        <w:ind w:left="2138" w:hanging="360"/>
      </w:pPr>
    </w:lvl>
    <w:lvl w:ilvl="2" w:tplc="B2AE71E0">
      <w:start w:val="1"/>
      <w:numFmt w:val="lowerRoman"/>
      <w:lvlText w:val="%3."/>
      <w:lvlJc w:val="right"/>
      <w:pPr>
        <w:ind w:left="2858" w:hanging="180"/>
      </w:pPr>
    </w:lvl>
    <w:lvl w:ilvl="3" w:tplc="10EEC406">
      <w:start w:val="1"/>
      <w:numFmt w:val="decimal"/>
      <w:lvlText w:val="%4."/>
      <w:lvlJc w:val="left"/>
      <w:pPr>
        <w:ind w:left="3578" w:hanging="360"/>
      </w:pPr>
    </w:lvl>
    <w:lvl w:ilvl="4" w:tplc="D0A4B196">
      <w:start w:val="1"/>
      <w:numFmt w:val="lowerLetter"/>
      <w:lvlText w:val="%5."/>
      <w:lvlJc w:val="left"/>
      <w:pPr>
        <w:ind w:left="4298" w:hanging="360"/>
      </w:pPr>
    </w:lvl>
    <w:lvl w:ilvl="5" w:tplc="73249770">
      <w:start w:val="1"/>
      <w:numFmt w:val="lowerRoman"/>
      <w:lvlText w:val="%6."/>
      <w:lvlJc w:val="right"/>
      <w:pPr>
        <w:ind w:left="5018" w:hanging="180"/>
      </w:pPr>
    </w:lvl>
    <w:lvl w:ilvl="6" w:tplc="1A2C6108">
      <w:start w:val="1"/>
      <w:numFmt w:val="decimal"/>
      <w:lvlText w:val="%7."/>
      <w:lvlJc w:val="left"/>
      <w:pPr>
        <w:ind w:left="5738" w:hanging="360"/>
      </w:pPr>
    </w:lvl>
    <w:lvl w:ilvl="7" w:tplc="C816993E">
      <w:start w:val="1"/>
      <w:numFmt w:val="lowerLetter"/>
      <w:lvlText w:val="%8."/>
      <w:lvlJc w:val="left"/>
      <w:pPr>
        <w:ind w:left="6458" w:hanging="360"/>
      </w:pPr>
    </w:lvl>
    <w:lvl w:ilvl="8" w:tplc="8E22345C">
      <w:start w:val="1"/>
      <w:numFmt w:val="lowerRoman"/>
      <w:lvlText w:val="%9."/>
      <w:lvlJc w:val="right"/>
      <w:pPr>
        <w:ind w:left="7178" w:hanging="180"/>
      </w:pPr>
    </w:lvl>
  </w:abstractNum>
  <w:abstractNum w:abstractNumId="5">
    <w:nsid w:val="1DB4303B"/>
    <w:multiLevelType w:val="hybridMultilevel"/>
    <w:tmpl w:val="17E62BEE"/>
    <w:lvl w:ilvl="0" w:tplc="B9684934">
      <w:start w:val="1"/>
      <w:numFmt w:val="bullet"/>
      <w:isLgl/>
      <w:lvlText w:val="-"/>
      <w:lvlJc w:val="left"/>
      <w:pPr>
        <w:tabs>
          <w:tab w:val="num" w:pos="0"/>
        </w:tabs>
        <w:ind w:left="5180" w:hanging="360"/>
      </w:pPr>
      <w:rPr>
        <w:rFonts w:ascii="Symbol" w:hAnsi="Symbol" w:cs="Symbol" w:hint="default"/>
      </w:rPr>
    </w:lvl>
    <w:lvl w:ilvl="1" w:tplc="C68EAE90">
      <w:start w:val="1"/>
      <w:numFmt w:val="bullet"/>
      <w:isLgl/>
      <w:lvlText w:val="o"/>
      <w:lvlJc w:val="left"/>
      <w:pPr>
        <w:tabs>
          <w:tab w:val="num" w:pos="0"/>
        </w:tabs>
        <w:ind w:left="2149" w:hanging="360"/>
      </w:pPr>
      <w:rPr>
        <w:rFonts w:ascii="Courier New" w:hAnsi="Courier New" w:cs="Courier New" w:hint="default"/>
      </w:rPr>
    </w:lvl>
    <w:lvl w:ilvl="2" w:tplc="689A4B84">
      <w:start w:val="1"/>
      <w:numFmt w:val="bullet"/>
      <w:isLgl/>
      <w:lvlText w:val=""/>
      <w:lvlJc w:val="left"/>
      <w:pPr>
        <w:tabs>
          <w:tab w:val="num" w:pos="0"/>
        </w:tabs>
        <w:ind w:left="2869" w:hanging="360"/>
      </w:pPr>
      <w:rPr>
        <w:rFonts w:ascii="Wingdings" w:hAnsi="Wingdings" w:cs="Wingdings" w:hint="default"/>
      </w:rPr>
    </w:lvl>
    <w:lvl w:ilvl="3" w:tplc="8F401424">
      <w:start w:val="1"/>
      <w:numFmt w:val="bullet"/>
      <w:isLgl/>
      <w:lvlText w:val=""/>
      <w:lvlJc w:val="left"/>
      <w:pPr>
        <w:tabs>
          <w:tab w:val="num" w:pos="0"/>
        </w:tabs>
        <w:ind w:left="3589" w:hanging="360"/>
      </w:pPr>
      <w:rPr>
        <w:rFonts w:ascii="Symbol" w:hAnsi="Symbol" w:cs="Symbol" w:hint="default"/>
      </w:rPr>
    </w:lvl>
    <w:lvl w:ilvl="4" w:tplc="24B4569A">
      <w:start w:val="1"/>
      <w:numFmt w:val="bullet"/>
      <w:isLgl/>
      <w:lvlText w:val="o"/>
      <w:lvlJc w:val="left"/>
      <w:pPr>
        <w:tabs>
          <w:tab w:val="num" w:pos="0"/>
        </w:tabs>
        <w:ind w:left="4309" w:hanging="360"/>
      </w:pPr>
      <w:rPr>
        <w:rFonts w:ascii="Courier New" w:hAnsi="Courier New" w:cs="Courier New" w:hint="default"/>
      </w:rPr>
    </w:lvl>
    <w:lvl w:ilvl="5" w:tplc="BBE0FC76">
      <w:start w:val="1"/>
      <w:numFmt w:val="bullet"/>
      <w:isLgl/>
      <w:lvlText w:val=""/>
      <w:lvlJc w:val="left"/>
      <w:pPr>
        <w:tabs>
          <w:tab w:val="num" w:pos="0"/>
        </w:tabs>
        <w:ind w:left="5029" w:hanging="360"/>
      </w:pPr>
      <w:rPr>
        <w:rFonts w:ascii="Wingdings" w:hAnsi="Wingdings" w:cs="Wingdings" w:hint="default"/>
      </w:rPr>
    </w:lvl>
    <w:lvl w:ilvl="6" w:tplc="F05A4516">
      <w:start w:val="1"/>
      <w:numFmt w:val="bullet"/>
      <w:isLgl/>
      <w:lvlText w:val=""/>
      <w:lvlJc w:val="left"/>
      <w:pPr>
        <w:tabs>
          <w:tab w:val="num" w:pos="0"/>
        </w:tabs>
        <w:ind w:left="5749" w:hanging="360"/>
      </w:pPr>
      <w:rPr>
        <w:rFonts w:ascii="Symbol" w:hAnsi="Symbol" w:cs="Symbol" w:hint="default"/>
      </w:rPr>
    </w:lvl>
    <w:lvl w:ilvl="7" w:tplc="C6C62C5A">
      <w:start w:val="1"/>
      <w:numFmt w:val="bullet"/>
      <w:isLgl/>
      <w:lvlText w:val="o"/>
      <w:lvlJc w:val="left"/>
      <w:pPr>
        <w:tabs>
          <w:tab w:val="num" w:pos="0"/>
        </w:tabs>
        <w:ind w:left="6469" w:hanging="360"/>
      </w:pPr>
      <w:rPr>
        <w:rFonts w:ascii="Courier New" w:hAnsi="Courier New" w:cs="Courier New" w:hint="default"/>
      </w:rPr>
    </w:lvl>
    <w:lvl w:ilvl="8" w:tplc="016CD8C4">
      <w:start w:val="1"/>
      <w:numFmt w:val="bullet"/>
      <w:isLgl/>
      <w:lvlText w:val=""/>
      <w:lvlJc w:val="left"/>
      <w:pPr>
        <w:tabs>
          <w:tab w:val="num" w:pos="0"/>
        </w:tabs>
        <w:ind w:left="7189" w:hanging="360"/>
      </w:pPr>
      <w:rPr>
        <w:rFonts w:ascii="Wingdings" w:hAnsi="Wingdings" w:cs="Wingdings" w:hint="default"/>
      </w:rPr>
    </w:lvl>
  </w:abstractNum>
  <w:abstractNum w:abstractNumId="6">
    <w:nsid w:val="1F997157"/>
    <w:multiLevelType w:val="hybridMultilevel"/>
    <w:tmpl w:val="BCCEC5F4"/>
    <w:lvl w:ilvl="0" w:tplc="C622B04C">
      <w:start w:val="1"/>
      <w:numFmt w:val="decimal"/>
      <w:isLgl/>
      <w:lvlText w:val="%1."/>
      <w:lvlJc w:val="left"/>
      <w:pPr>
        <w:tabs>
          <w:tab w:val="num" w:pos="0"/>
        </w:tabs>
        <w:ind w:left="2061" w:hanging="360"/>
      </w:pPr>
    </w:lvl>
    <w:lvl w:ilvl="1" w:tplc="C876F7CC">
      <w:start w:val="1"/>
      <w:numFmt w:val="lowerLetter"/>
      <w:isLgl/>
      <w:lvlText w:val="%2."/>
      <w:lvlJc w:val="left"/>
      <w:pPr>
        <w:tabs>
          <w:tab w:val="num" w:pos="0"/>
        </w:tabs>
        <w:ind w:left="2781" w:hanging="360"/>
      </w:pPr>
    </w:lvl>
    <w:lvl w:ilvl="2" w:tplc="143A3220">
      <w:start w:val="1"/>
      <w:numFmt w:val="lowerRoman"/>
      <w:isLgl/>
      <w:lvlText w:val="%3."/>
      <w:lvlJc w:val="right"/>
      <w:pPr>
        <w:tabs>
          <w:tab w:val="num" w:pos="0"/>
        </w:tabs>
        <w:ind w:left="3501" w:hanging="180"/>
      </w:pPr>
    </w:lvl>
    <w:lvl w:ilvl="3" w:tplc="847ABDA2">
      <w:start w:val="1"/>
      <w:numFmt w:val="decimal"/>
      <w:isLgl/>
      <w:lvlText w:val="%4."/>
      <w:lvlJc w:val="left"/>
      <w:pPr>
        <w:tabs>
          <w:tab w:val="num" w:pos="0"/>
        </w:tabs>
        <w:ind w:left="4221" w:hanging="360"/>
      </w:pPr>
    </w:lvl>
    <w:lvl w:ilvl="4" w:tplc="AB5EA14E">
      <w:start w:val="1"/>
      <w:numFmt w:val="lowerLetter"/>
      <w:isLgl/>
      <w:lvlText w:val="%5."/>
      <w:lvlJc w:val="left"/>
      <w:pPr>
        <w:tabs>
          <w:tab w:val="num" w:pos="0"/>
        </w:tabs>
        <w:ind w:left="4941" w:hanging="360"/>
      </w:pPr>
    </w:lvl>
    <w:lvl w:ilvl="5" w:tplc="D2A8F5F4">
      <w:start w:val="1"/>
      <w:numFmt w:val="lowerRoman"/>
      <w:isLgl/>
      <w:lvlText w:val="%6."/>
      <w:lvlJc w:val="right"/>
      <w:pPr>
        <w:tabs>
          <w:tab w:val="num" w:pos="0"/>
        </w:tabs>
        <w:ind w:left="5661" w:hanging="180"/>
      </w:pPr>
    </w:lvl>
    <w:lvl w:ilvl="6" w:tplc="2DCC72E4">
      <w:start w:val="1"/>
      <w:numFmt w:val="decimal"/>
      <w:isLgl/>
      <w:lvlText w:val="%7."/>
      <w:lvlJc w:val="left"/>
      <w:pPr>
        <w:tabs>
          <w:tab w:val="num" w:pos="0"/>
        </w:tabs>
        <w:ind w:left="6381" w:hanging="360"/>
      </w:pPr>
    </w:lvl>
    <w:lvl w:ilvl="7" w:tplc="EF423AE8">
      <w:start w:val="1"/>
      <w:numFmt w:val="lowerLetter"/>
      <w:isLgl/>
      <w:lvlText w:val="%8."/>
      <w:lvlJc w:val="left"/>
      <w:pPr>
        <w:tabs>
          <w:tab w:val="num" w:pos="0"/>
        </w:tabs>
        <w:ind w:left="7101" w:hanging="360"/>
      </w:pPr>
    </w:lvl>
    <w:lvl w:ilvl="8" w:tplc="6172B556">
      <w:start w:val="1"/>
      <w:numFmt w:val="lowerRoman"/>
      <w:isLgl/>
      <w:lvlText w:val="%9."/>
      <w:lvlJc w:val="right"/>
      <w:pPr>
        <w:tabs>
          <w:tab w:val="num" w:pos="0"/>
        </w:tabs>
        <w:ind w:left="7821" w:hanging="180"/>
      </w:pPr>
    </w:lvl>
  </w:abstractNum>
  <w:abstractNum w:abstractNumId="7">
    <w:nsid w:val="24021D2A"/>
    <w:multiLevelType w:val="hybridMultilevel"/>
    <w:tmpl w:val="F7C4DD76"/>
    <w:lvl w:ilvl="0" w:tplc="9DDA58A0">
      <w:start w:val="1"/>
      <w:numFmt w:val="decimal"/>
      <w:isLgl/>
      <w:lvlText w:val="%1."/>
      <w:lvlJc w:val="left"/>
      <w:pPr>
        <w:tabs>
          <w:tab w:val="num" w:pos="0"/>
        </w:tabs>
        <w:ind w:left="720" w:hanging="360"/>
      </w:pPr>
      <w:rPr>
        <w:rFonts w:ascii="Times New Roman" w:hAnsi="Times New Roman" w:cs="Times New Roman"/>
        <w:sz w:val="28"/>
        <w:szCs w:val="28"/>
      </w:rPr>
    </w:lvl>
    <w:lvl w:ilvl="1" w:tplc="5A446416">
      <w:start w:val="1"/>
      <w:numFmt w:val="lowerLetter"/>
      <w:isLgl/>
      <w:lvlText w:val="%2."/>
      <w:lvlJc w:val="left"/>
      <w:pPr>
        <w:tabs>
          <w:tab w:val="num" w:pos="0"/>
        </w:tabs>
        <w:ind w:left="1440" w:hanging="360"/>
      </w:pPr>
    </w:lvl>
    <w:lvl w:ilvl="2" w:tplc="FFD8BC7E">
      <w:start w:val="1"/>
      <w:numFmt w:val="lowerRoman"/>
      <w:isLgl/>
      <w:lvlText w:val="%3."/>
      <w:lvlJc w:val="right"/>
      <w:pPr>
        <w:tabs>
          <w:tab w:val="num" w:pos="0"/>
        </w:tabs>
        <w:ind w:left="2160" w:hanging="180"/>
      </w:pPr>
    </w:lvl>
    <w:lvl w:ilvl="3" w:tplc="C5F83044">
      <w:start w:val="1"/>
      <w:numFmt w:val="decimal"/>
      <w:isLgl/>
      <w:lvlText w:val="%4."/>
      <w:lvlJc w:val="left"/>
      <w:pPr>
        <w:tabs>
          <w:tab w:val="num" w:pos="0"/>
        </w:tabs>
        <w:ind w:left="2880" w:hanging="360"/>
      </w:pPr>
    </w:lvl>
    <w:lvl w:ilvl="4" w:tplc="04988450">
      <w:start w:val="1"/>
      <w:numFmt w:val="lowerLetter"/>
      <w:isLgl/>
      <w:lvlText w:val="%5."/>
      <w:lvlJc w:val="left"/>
      <w:pPr>
        <w:tabs>
          <w:tab w:val="num" w:pos="0"/>
        </w:tabs>
        <w:ind w:left="3600" w:hanging="360"/>
      </w:pPr>
    </w:lvl>
    <w:lvl w:ilvl="5" w:tplc="6A72F9FA">
      <w:start w:val="1"/>
      <w:numFmt w:val="lowerRoman"/>
      <w:isLgl/>
      <w:lvlText w:val="%6."/>
      <w:lvlJc w:val="right"/>
      <w:pPr>
        <w:tabs>
          <w:tab w:val="num" w:pos="0"/>
        </w:tabs>
        <w:ind w:left="4320" w:hanging="180"/>
      </w:pPr>
    </w:lvl>
    <w:lvl w:ilvl="6" w:tplc="B60A3E7C">
      <w:start w:val="1"/>
      <w:numFmt w:val="decimal"/>
      <w:isLgl/>
      <w:lvlText w:val="%7."/>
      <w:lvlJc w:val="left"/>
      <w:pPr>
        <w:tabs>
          <w:tab w:val="num" w:pos="0"/>
        </w:tabs>
        <w:ind w:left="5040" w:hanging="360"/>
      </w:pPr>
    </w:lvl>
    <w:lvl w:ilvl="7" w:tplc="72FE180E">
      <w:start w:val="1"/>
      <w:numFmt w:val="lowerLetter"/>
      <w:isLgl/>
      <w:lvlText w:val="%8."/>
      <w:lvlJc w:val="left"/>
      <w:pPr>
        <w:tabs>
          <w:tab w:val="num" w:pos="0"/>
        </w:tabs>
        <w:ind w:left="5760" w:hanging="360"/>
      </w:pPr>
    </w:lvl>
    <w:lvl w:ilvl="8" w:tplc="25661678">
      <w:start w:val="1"/>
      <w:numFmt w:val="lowerRoman"/>
      <w:isLgl/>
      <w:lvlText w:val="%9."/>
      <w:lvlJc w:val="right"/>
      <w:pPr>
        <w:tabs>
          <w:tab w:val="num" w:pos="0"/>
        </w:tabs>
        <w:ind w:left="6480" w:hanging="180"/>
      </w:pPr>
    </w:lvl>
  </w:abstractNum>
  <w:abstractNum w:abstractNumId="8">
    <w:nsid w:val="2E217460"/>
    <w:multiLevelType w:val="hybridMultilevel"/>
    <w:tmpl w:val="CD6C2702"/>
    <w:lvl w:ilvl="0" w:tplc="C4F464EE">
      <w:start w:val="1"/>
      <w:numFmt w:val="decimal"/>
      <w:isLgl/>
      <w:lvlText w:val="%1."/>
      <w:lvlJc w:val="left"/>
      <w:pPr>
        <w:tabs>
          <w:tab w:val="num" w:pos="0"/>
        </w:tabs>
        <w:ind w:left="720" w:hanging="360"/>
      </w:pPr>
      <w:rPr>
        <w:rFonts w:ascii="Times New Roman" w:eastAsia="Arial" w:hAnsi="Times New Roman" w:cs="Times New Roman"/>
      </w:rPr>
    </w:lvl>
    <w:lvl w:ilvl="1" w:tplc="537AC71A">
      <w:start w:val="1"/>
      <w:numFmt w:val="lowerLetter"/>
      <w:isLgl/>
      <w:lvlText w:val="%2."/>
      <w:lvlJc w:val="left"/>
      <w:pPr>
        <w:tabs>
          <w:tab w:val="num" w:pos="0"/>
        </w:tabs>
        <w:ind w:left="1440" w:hanging="360"/>
      </w:pPr>
    </w:lvl>
    <w:lvl w:ilvl="2" w:tplc="B0B479EC">
      <w:start w:val="1"/>
      <w:numFmt w:val="lowerRoman"/>
      <w:isLgl/>
      <w:lvlText w:val="%3."/>
      <w:lvlJc w:val="right"/>
      <w:pPr>
        <w:tabs>
          <w:tab w:val="num" w:pos="0"/>
        </w:tabs>
        <w:ind w:left="2160" w:hanging="180"/>
      </w:pPr>
    </w:lvl>
    <w:lvl w:ilvl="3" w:tplc="D9D8C162">
      <w:start w:val="1"/>
      <w:numFmt w:val="decimal"/>
      <w:isLgl/>
      <w:lvlText w:val="%4."/>
      <w:lvlJc w:val="left"/>
      <w:pPr>
        <w:tabs>
          <w:tab w:val="num" w:pos="0"/>
        </w:tabs>
        <w:ind w:left="2880" w:hanging="360"/>
      </w:pPr>
    </w:lvl>
    <w:lvl w:ilvl="4" w:tplc="5C3A9920">
      <w:start w:val="1"/>
      <w:numFmt w:val="lowerLetter"/>
      <w:isLgl/>
      <w:lvlText w:val="%5."/>
      <w:lvlJc w:val="left"/>
      <w:pPr>
        <w:tabs>
          <w:tab w:val="num" w:pos="0"/>
        </w:tabs>
        <w:ind w:left="3600" w:hanging="360"/>
      </w:pPr>
    </w:lvl>
    <w:lvl w:ilvl="5" w:tplc="D89C6A58">
      <w:start w:val="1"/>
      <w:numFmt w:val="lowerRoman"/>
      <w:isLgl/>
      <w:lvlText w:val="%6."/>
      <w:lvlJc w:val="right"/>
      <w:pPr>
        <w:tabs>
          <w:tab w:val="num" w:pos="0"/>
        </w:tabs>
        <w:ind w:left="4320" w:hanging="180"/>
      </w:pPr>
    </w:lvl>
    <w:lvl w:ilvl="6" w:tplc="33967C7A">
      <w:start w:val="1"/>
      <w:numFmt w:val="decimal"/>
      <w:isLgl/>
      <w:lvlText w:val="%7."/>
      <w:lvlJc w:val="left"/>
      <w:pPr>
        <w:tabs>
          <w:tab w:val="num" w:pos="0"/>
        </w:tabs>
        <w:ind w:left="5040" w:hanging="360"/>
      </w:pPr>
    </w:lvl>
    <w:lvl w:ilvl="7" w:tplc="DE3A1392">
      <w:start w:val="1"/>
      <w:numFmt w:val="lowerLetter"/>
      <w:isLgl/>
      <w:lvlText w:val="%8."/>
      <w:lvlJc w:val="left"/>
      <w:pPr>
        <w:tabs>
          <w:tab w:val="num" w:pos="0"/>
        </w:tabs>
        <w:ind w:left="5760" w:hanging="360"/>
      </w:pPr>
    </w:lvl>
    <w:lvl w:ilvl="8" w:tplc="04E03E76">
      <w:start w:val="1"/>
      <w:numFmt w:val="lowerRoman"/>
      <w:isLgl/>
      <w:lvlText w:val="%9."/>
      <w:lvlJc w:val="right"/>
      <w:pPr>
        <w:tabs>
          <w:tab w:val="num" w:pos="0"/>
        </w:tabs>
        <w:ind w:left="6480" w:hanging="180"/>
      </w:pPr>
    </w:lvl>
  </w:abstractNum>
  <w:abstractNum w:abstractNumId="9">
    <w:nsid w:val="4425141E"/>
    <w:multiLevelType w:val="hybridMultilevel"/>
    <w:tmpl w:val="0360B488"/>
    <w:lvl w:ilvl="0" w:tplc="355EB7E6">
      <w:start w:val="1"/>
      <w:numFmt w:val="decimal"/>
      <w:isLgl/>
      <w:lvlText w:val="%1."/>
      <w:lvlJc w:val="left"/>
      <w:pPr>
        <w:tabs>
          <w:tab w:val="num" w:pos="0"/>
        </w:tabs>
        <w:ind w:left="720" w:hanging="360"/>
      </w:pPr>
    </w:lvl>
    <w:lvl w:ilvl="1" w:tplc="80A4AD6A">
      <w:start w:val="1"/>
      <w:numFmt w:val="lowerLetter"/>
      <w:isLgl/>
      <w:lvlText w:val="%2."/>
      <w:lvlJc w:val="left"/>
      <w:pPr>
        <w:tabs>
          <w:tab w:val="num" w:pos="0"/>
        </w:tabs>
        <w:ind w:left="1440" w:hanging="360"/>
      </w:pPr>
    </w:lvl>
    <w:lvl w:ilvl="2" w:tplc="4E6E5BF4">
      <w:start w:val="1"/>
      <w:numFmt w:val="lowerRoman"/>
      <w:isLgl/>
      <w:lvlText w:val="%3."/>
      <w:lvlJc w:val="right"/>
      <w:pPr>
        <w:tabs>
          <w:tab w:val="num" w:pos="0"/>
        </w:tabs>
        <w:ind w:left="2160" w:hanging="180"/>
      </w:pPr>
    </w:lvl>
    <w:lvl w:ilvl="3" w:tplc="1CBA73CA">
      <w:start w:val="1"/>
      <w:numFmt w:val="decimal"/>
      <w:isLgl/>
      <w:lvlText w:val="%4."/>
      <w:lvlJc w:val="left"/>
      <w:pPr>
        <w:tabs>
          <w:tab w:val="num" w:pos="0"/>
        </w:tabs>
        <w:ind w:left="2880" w:hanging="360"/>
      </w:pPr>
    </w:lvl>
    <w:lvl w:ilvl="4" w:tplc="6FE623A8">
      <w:start w:val="1"/>
      <w:numFmt w:val="lowerLetter"/>
      <w:isLgl/>
      <w:lvlText w:val="%5."/>
      <w:lvlJc w:val="left"/>
      <w:pPr>
        <w:tabs>
          <w:tab w:val="num" w:pos="0"/>
        </w:tabs>
        <w:ind w:left="3600" w:hanging="360"/>
      </w:pPr>
    </w:lvl>
    <w:lvl w:ilvl="5" w:tplc="5C78C6DA">
      <w:start w:val="1"/>
      <w:numFmt w:val="lowerRoman"/>
      <w:isLgl/>
      <w:lvlText w:val="%6."/>
      <w:lvlJc w:val="right"/>
      <w:pPr>
        <w:tabs>
          <w:tab w:val="num" w:pos="0"/>
        </w:tabs>
        <w:ind w:left="4320" w:hanging="180"/>
      </w:pPr>
    </w:lvl>
    <w:lvl w:ilvl="6" w:tplc="3004675A">
      <w:start w:val="1"/>
      <w:numFmt w:val="decimal"/>
      <w:isLgl/>
      <w:lvlText w:val="%7."/>
      <w:lvlJc w:val="left"/>
      <w:pPr>
        <w:tabs>
          <w:tab w:val="num" w:pos="0"/>
        </w:tabs>
        <w:ind w:left="5040" w:hanging="360"/>
      </w:pPr>
    </w:lvl>
    <w:lvl w:ilvl="7" w:tplc="4F526508">
      <w:start w:val="1"/>
      <w:numFmt w:val="lowerLetter"/>
      <w:isLgl/>
      <w:lvlText w:val="%8."/>
      <w:lvlJc w:val="left"/>
      <w:pPr>
        <w:tabs>
          <w:tab w:val="num" w:pos="0"/>
        </w:tabs>
        <w:ind w:left="5760" w:hanging="360"/>
      </w:pPr>
    </w:lvl>
    <w:lvl w:ilvl="8" w:tplc="5F188B08">
      <w:start w:val="1"/>
      <w:numFmt w:val="lowerRoman"/>
      <w:isLgl/>
      <w:lvlText w:val="%9."/>
      <w:lvlJc w:val="right"/>
      <w:pPr>
        <w:tabs>
          <w:tab w:val="num" w:pos="0"/>
        </w:tabs>
        <w:ind w:left="6480" w:hanging="180"/>
      </w:pPr>
    </w:lvl>
  </w:abstractNum>
  <w:abstractNum w:abstractNumId="10">
    <w:nsid w:val="46AE38F7"/>
    <w:multiLevelType w:val="hybridMultilevel"/>
    <w:tmpl w:val="54FA77B8"/>
    <w:lvl w:ilvl="0" w:tplc="489E5FC4">
      <w:start w:val="1"/>
      <w:numFmt w:val="decimal"/>
      <w:isLgl/>
      <w:lvlText w:val="%1."/>
      <w:lvlJc w:val="left"/>
      <w:pPr>
        <w:tabs>
          <w:tab w:val="num" w:pos="0"/>
        </w:tabs>
        <w:ind w:left="720" w:hanging="360"/>
      </w:pPr>
    </w:lvl>
    <w:lvl w:ilvl="1" w:tplc="5900F082">
      <w:start w:val="1"/>
      <w:numFmt w:val="lowerLetter"/>
      <w:isLgl/>
      <w:lvlText w:val="%2."/>
      <w:lvlJc w:val="left"/>
      <w:pPr>
        <w:tabs>
          <w:tab w:val="num" w:pos="0"/>
        </w:tabs>
        <w:ind w:left="1440" w:hanging="360"/>
      </w:pPr>
    </w:lvl>
    <w:lvl w:ilvl="2" w:tplc="66C4D860">
      <w:start w:val="1"/>
      <w:numFmt w:val="lowerRoman"/>
      <w:isLgl/>
      <w:lvlText w:val="%3."/>
      <w:lvlJc w:val="right"/>
      <w:pPr>
        <w:tabs>
          <w:tab w:val="num" w:pos="0"/>
        </w:tabs>
        <w:ind w:left="2160" w:hanging="180"/>
      </w:pPr>
    </w:lvl>
    <w:lvl w:ilvl="3" w:tplc="877650BA">
      <w:start w:val="1"/>
      <w:numFmt w:val="decimal"/>
      <w:isLgl/>
      <w:lvlText w:val="%4."/>
      <w:lvlJc w:val="left"/>
      <w:pPr>
        <w:tabs>
          <w:tab w:val="num" w:pos="0"/>
        </w:tabs>
        <w:ind w:left="2880" w:hanging="360"/>
      </w:pPr>
    </w:lvl>
    <w:lvl w:ilvl="4" w:tplc="54FEF81E">
      <w:start w:val="1"/>
      <w:numFmt w:val="lowerLetter"/>
      <w:isLgl/>
      <w:lvlText w:val="%5."/>
      <w:lvlJc w:val="left"/>
      <w:pPr>
        <w:tabs>
          <w:tab w:val="num" w:pos="0"/>
        </w:tabs>
        <w:ind w:left="3600" w:hanging="360"/>
      </w:pPr>
    </w:lvl>
    <w:lvl w:ilvl="5" w:tplc="34F63680">
      <w:start w:val="1"/>
      <w:numFmt w:val="lowerRoman"/>
      <w:isLgl/>
      <w:lvlText w:val="%6."/>
      <w:lvlJc w:val="right"/>
      <w:pPr>
        <w:tabs>
          <w:tab w:val="num" w:pos="0"/>
        </w:tabs>
        <w:ind w:left="4320" w:hanging="180"/>
      </w:pPr>
    </w:lvl>
    <w:lvl w:ilvl="6" w:tplc="15CCAA7A">
      <w:start w:val="1"/>
      <w:numFmt w:val="decimal"/>
      <w:isLgl/>
      <w:lvlText w:val="%7."/>
      <w:lvlJc w:val="left"/>
      <w:pPr>
        <w:tabs>
          <w:tab w:val="num" w:pos="0"/>
        </w:tabs>
        <w:ind w:left="5040" w:hanging="360"/>
      </w:pPr>
    </w:lvl>
    <w:lvl w:ilvl="7" w:tplc="8D125552">
      <w:start w:val="1"/>
      <w:numFmt w:val="lowerLetter"/>
      <w:isLgl/>
      <w:lvlText w:val="%8."/>
      <w:lvlJc w:val="left"/>
      <w:pPr>
        <w:tabs>
          <w:tab w:val="num" w:pos="0"/>
        </w:tabs>
        <w:ind w:left="5760" w:hanging="360"/>
      </w:pPr>
    </w:lvl>
    <w:lvl w:ilvl="8" w:tplc="B4243B18">
      <w:start w:val="1"/>
      <w:numFmt w:val="lowerRoman"/>
      <w:isLgl/>
      <w:lvlText w:val="%9."/>
      <w:lvlJc w:val="right"/>
      <w:pPr>
        <w:tabs>
          <w:tab w:val="num" w:pos="0"/>
        </w:tabs>
        <w:ind w:left="6480" w:hanging="180"/>
      </w:pPr>
    </w:lvl>
  </w:abstractNum>
  <w:abstractNum w:abstractNumId="11">
    <w:nsid w:val="491438E4"/>
    <w:multiLevelType w:val="hybridMultilevel"/>
    <w:tmpl w:val="5ED692D8"/>
    <w:lvl w:ilvl="0" w:tplc="0CC65692">
      <w:start w:val="1"/>
      <w:numFmt w:val="none"/>
      <w:suff w:val="nothing"/>
      <w:lvlText w:val=""/>
      <w:lvlJc w:val="left"/>
      <w:pPr>
        <w:tabs>
          <w:tab w:val="num" w:pos="0"/>
        </w:tabs>
        <w:ind w:left="0" w:firstLine="0"/>
      </w:pPr>
    </w:lvl>
    <w:lvl w:ilvl="1" w:tplc="B88C6ACC">
      <w:start w:val="1"/>
      <w:numFmt w:val="none"/>
      <w:suff w:val="nothing"/>
      <w:lvlText w:val=""/>
      <w:lvlJc w:val="left"/>
      <w:pPr>
        <w:tabs>
          <w:tab w:val="num" w:pos="0"/>
        </w:tabs>
        <w:ind w:left="0" w:firstLine="0"/>
      </w:pPr>
    </w:lvl>
    <w:lvl w:ilvl="2" w:tplc="81A4DE6A">
      <w:start w:val="1"/>
      <w:numFmt w:val="none"/>
      <w:suff w:val="nothing"/>
      <w:lvlText w:val=""/>
      <w:lvlJc w:val="left"/>
      <w:pPr>
        <w:tabs>
          <w:tab w:val="num" w:pos="0"/>
        </w:tabs>
        <w:ind w:left="0" w:firstLine="0"/>
      </w:pPr>
    </w:lvl>
    <w:lvl w:ilvl="3" w:tplc="0EF4F420">
      <w:start w:val="1"/>
      <w:numFmt w:val="none"/>
      <w:suff w:val="nothing"/>
      <w:lvlText w:val=""/>
      <w:lvlJc w:val="left"/>
      <w:pPr>
        <w:tabs>
          <w:tab w:val="num" w:pos="0"/>
        </w:tabs>
        <w:ind w:left="0" w:firstLine="0"/>
      </w:pPr>
    </w:lvl>
    <w:lvl w:ilvl="4" w:tplc="0B729124">
      <w:start w:val="1"/>
      <w:numFmt w:val="none"/>
      <w:suff w:val="nothing"/>
      <w:lvlText w:val=""/>
      <w:lvlJc w:val="left"/>
      <w:pPr>
        <w:tabs>
          <w:tab w:val="num" w:pos="0"/>
        </w:tabs>
        <w:ind w:left="0" w:firstLine="0"/>
      </w:pPr>
    </w:lvl>
    <w:lvl w:ilvl="5" w:tplc="7D280AD4">
      <w:start w:val="1"/>
      <w:numFmt w:val="none"/>
      <w:suff w:val="nothing"/>
      <w:lvlText w:val=""/>
      <w:lvlJc w:val="left"/>
      <w:pPr>
        <w:tabs>
          <w:tab w:val="num" w:pos="0"/>
        </w:tabs>
        <w:ind w:left="0" w:firstLine="0"/>
      </w:pPr>
    </w:lvl>
    <w:lvl w:ilvl="6" w:tplc="DB087CFC">
      <w:start w:val="1"/>
      <w:numFmt w:val="none"/>
      <w:suff w:val="nothing"/>
      <w:lvlText w:val=""/>
      <w:lvlJc w:val="left"/>
      <w:pPr>
        <w:tabs>
          <w:tab w:val="num" w:pos="0"/>
        </w:tabs>
        <w:ind w:left="0" w:firstLine="0"/>
      </w:pPr>
    </w:lvl>
    <w:lvl w:ilvl="7" w:tplc="77743DA0">
      <w:start w:val="1"/>
      <w:numFmt w:val="none"/>
      <w:suff w:val="nothing"/>
      <w:lvlText w:val=""/>
      <w:lvlJc w:val="left"/>
      <w:pPr>
        <w:tabs>
          <w:tab w:val="num" w:pos="0"/>
        </w:tabs>
        <w:ind w:left="0" w:firstLine="0"/>
      </w:pPr>
    </w:lvl>
    <w:lvl w:ilvl="8" w:tplc="8AC6638A">
      <w:start w:val="1"/>
      <w:numFmt w:val="none"/>
      <w:suff w:val="nothing"/>
      <w:lvlText w:val=""/>
      <w:lvlJc w:val="left"/>
      <w:pPr>
        <w:tabs>
          <w:tab w:val="num" w:pos="0"/>
        </w:tabs>
        <w:ind w:left="0" w:firstLine="0"/>
      </w:pPr>
    </w:lvl>
  </w:abstractNum>
  <w:abstractNum w:abstractNumId="12">
    <w:nsid w:val="4C522D66"/>
    <w:multiLevelType w:val="hybridMultilevel"/>
    <w:tmpl w:val="B6A08D88"/>
    <w:lvl w:ilvl="0" w:tplc="0598EF32">
      <w:start w:val="1"/>
      <w:numFmt w:val="decimal"/>
      <w:isLgl/>
      <w:lvlText w:val="%1."/>
      <w:lvlJc w:val="left"/>
      <w:pPr>
        <w:tabs>
          <w:tab w:val="num" w:pos="0"/>
        </w:tabs>
        <w:ind w:left="720" w:hanging="360"/>
      </w:pPr>
    </w:lvl>
    <w:lvl w:ilvl="1" w:tplc="DC6CAE12">
      <w:start w:val="1"/>
      <w:numFmt w:val="lowerLetter"/>
      <w:isLgl/>
      <w:lvlText w:val="%2."/>
      <w:lvlJc w:val="left"/>
      <w:pPr>
        <w:tabs>
          <w:tab w:val="num" w:pos="0"/>
        </w:tabs>
        <w:ind w:left="1440" w:hanging="360"/>
      </w:pPr>
    </w:lvl>
    <w:lvl w:ilvl="2" w:tplc="897E47E4">
      <w:start w:val="1"/>
      <w:numFmt w:val="lowerRoman"/>
      <w:isLgl/>
      <w:lvlText w:val="%3."/>
      <w:lvlJc w:val="right"/>
      <w:pPr>
        <w:tabs>
          <w:tab w:val="num" w:pos="0"/>
        </w:tabs>
        <w:ind w:left="2160" w:hanging="180"/>
      </w:pPr>
    </w:lvl>
    <w:lvl w:ilvl="3" w:tplc="79FC3F0E">
      <w:start w:val="1"/>
      <w:numFmt w:val="decimal"/>
      <w:isLgl/>
      <w:lvlText w:val="%4."/>
      <w:lvlJc w:val="left"/>
      <w:pPr>
        <w:tabs>
          <w:tab w:val="num" w:pos="0"/>
        </w:tabs>
        <w:ind w:left="2880" w:hanging="360"/>
      </w:pPr>
    </w:lvl>
    <w:lvl w:ilvl="4" w:tplc="4FB65F8A">
      <w:start w:val="1"/>
      <w:numFmt w:val="lowerLetter"/>
      <w:isLgl/>
      <w:lvlText w:val="%5."/>
      <w:lvlJc w:val="left"/>
      <w:pPr>
        <w:tabs>
          <w:tab w:val="num" w:pos="0"/>
        </w:tabs>
        <w:ind w:left="3600" w:hanging="360"/>
      </w:pPr>
    </w:lvl>
    <w:lvl w:ilvl="5" w:tplc="9FF64438">
      <w:start w:val="1"/>
      <w:numFmt w:val="lowerRoman"/>
      <w:isLgl/>
      <w:lvlText w:val="%6."/>
      <w:lvlJc w:val="right"/>
      <w:pPr>
        <w:tabs>
          <w:tab w:val="num" w:pos="0"/>
        </w:tabs>
        <w:ind w:left="4320" w:hanging="180"/>
      </w:pPr>
    </w:lvl>
    <w:lvl w:ilvl="6" w:tplc="A9E2BE24">
      <w:start w:val="1"/>
      <w:numFmt w:val="decimal"/>
      <w:isLgl/>
      <w:lvlText w:val="%7."/>
      <w:lvlJc w:val="left"/>
      <w:pPr>
        <w:tabs>
          <w:tab w:val="num" w:pos="0"/>
        </w:tabs>
        <w:ind w:left="5040" w:hanging="360"/>
      </w:pPr>
    </w:lvl>
    <w:lvl w:ilvl="7" w:tplc="02105F8E">
      <w:start w:val="1"/>
      <w:numFmt w:val="lowerLetter"/>
      <w:isLgl/>
      <w:lvlText w:val="%8."/>
      <w:lvlJc w:val="left"/>
      <w:pPr>
        <w:tabs>
          <w:tab w:val="num" w:pos="0"/>
        </w:tabs>
        <w:ind w:left="5760" w:hanging="360"/>
      </w:pPr>
    </w:lvl>
    <w:lvl w:ilvl="8" w:tplc="66902A56">
      <w:start w:val="1"/>
      <w:numFmt w:val="lowerRoman"/>
      <w:isLgl/>
      <w:lvlText w:val="%9."/>
      <w:lvlJc w:val="right"/>
      <w:pPr>
        <w:tabs>
          <w:tab w:val="num" w:pos="0"/>
        </w:tabs>
        <w:ind w:left="6480" w:hanging="180"/>
      </w:pPr>
    </w:lvl>
  </w:abstractNum>
  <w:abstractNum w:abstractNumId="13">
    <w:nsid w:val="51C7190C"/>
    <w:multiLevelType w:val="hybridMultilevel"/>
    <w:tmpl w:val="0BD087B0"/>
    <w:lvl w:ilvl="0" w:tplc="1174EAA0">
      <w:start w:val="1"/>
      <w:numFmt w:val="decimal"/>
      <w:isLgl/>
      <w:lvlText w:val="%1."/>
      <w:lvlJc w:val="left"/>
      <w:pPr>
        <w:tabs>
          <w:tab w:val="num" w:pos="0"/>
        </w:tabs>
        <w:ind w:left="1287" w:hanging="360"/>
      </w:pPr>
      <w:rPr>
        <w:b w:val="0"/>
        <w:sz w:val="28"/>
      </w:rPr>
    </w:lvl>
    <w:lvl w:ilvl="1" w:tplc="BC546E6C">
      <w:start w:val="1"/>
      <w:numFmt w:val="lowerLetter"/>
      <w:isLgl/>
      <w:lvlText w:val="%2."/>
      <w:lvlJc w:val="left"/>
      <w:pPr>
        <w:tabs>
          <w:tab w:val="num" w:pos="0"/>
        </w:tabs>
        <w:ind w:left="2007" w:hanging="360"/>
      </w:pPr>
    </w:lvl>
    <w:lvl w:ilvl="2" w:tplc="C5E220AC">
      <w:start w:val="1"/>
      <w:numFmt w:val="lowerRoman"/>
      <w:isLgl/>
      <w:lvlText w:val="%3."/>
      <w:lvlJc w:val="right"/>
      <w:pPr>
        <w:tabs>
          <w:tab w:val="num" w:pos="0"/>
        </w:tabs>
        <w:ind w:left="2727" w:hanging="180"/>
      </w:pPr>
    </w:lvl>
    <w:lvl w:ilvl="3" w:tplc="B6600F68">
      <w:start w:val="1"/>
      <w:numFmt w:val="decimal"/>
      <w:isLgl/>
      <w:lvlText w:val="%4."/>
      <w:lvlJc w:val="left"/>
      <w:pPr>
        <w:tabs>
          <w:tab w:val="num" w:pos="0"/>
        </w:tabs>
        <w:ind w:left="3447" w:hanging="360"/>
      </w:pPr>
    </w:lvl>
    <w:lvl w:ilvl="4" w:tplc="64520BDE">
      <w:start w:val="1"/>
      <w:numFmt w:val="lowerLetter"/>
      <w:isLgl/>
      <w:lvlText w:val="%5."/>
      <w:lvlJc w:val="left"/>
      <w:pPr>
        <w:tabs>
          <w:tab w:val="num" w:pos="0"/>
        </w:tabs>
        <w:ind w:left="4167" w:hanging="360"/>
      </w:pPr>
    </w:lvl>
    <w:lvl w:ilvl="5" w:tplc="A0CC466A">
      <w:start w:val="1"/>
      <w:numFmt w:val="lowerRoman"/>
      <w:isLgl/>
      <w:lvlText w:val="%6."/>
      <w:lvlJc w:val="right"/>
      <w:pPr>
        <w:tabs>
          <w:tab w:val="num" w:pos="0"/>
        </w:tabs>
        <w:ind w:left="4887" w:hanging="180"/>
      </w:pPr>
    </w:lvl>
    <w:lvl w:ilvl="6" w:tplc="C75C9F44">
      <w:start w:val="1"/>
      <w:numFmt w:val="decimal"/>
      <w:isLgl/>
      <w:lvlText w:val="%7."/>
      <w:lvlJc w:val="left"/>
      <w:pPr>
        <w:tabs>
          <w:tab w:val="num" w:pos="0"/>
        </w:tabs>
        <w:ind w:left="5607" w:hanging="360"/>
      </w:pPr>
    </w:lvl>
    <w:lvl w:ilvl="7" w:tplc="8C2C0C30">
      <w:start w:val="1"/>
      <w:numFmt w:val="lowerLetter"/>
      <w:isLgl/>
      <w:lvlText w:val="%8."/>
      <w:lvlJc w:val="left"/>
      <w:pPr>
        <w:tabs>
          <w:tab w:val="num" w:pos="0"/>
        </w:tabs>
        <w:ind w:left="6327" w:hanging="360"/>
      </w:pPr>
    </w:lvl>
    <w:lvl w:ilvl="8" w:tplc="FEE8AFEE">
      <w:start w:val="1"/>
      <w:numFmt w:val="lowerRoman"/>
      <w:isLgl/>
      <w:lvlText w:val="%9."/>
      <w:lvlJc w:val="right"/>
      <w:pPr>
        <w:tabs>
          <w:tab w:val="num" w:pos="0"/>
        </w:tabs>
        <w:ind w:left="7047" w:hanging="180"/>
      </w:pPr>
    </w:lvl>
  </w:abstractNum>
  <w:abstractNum w:abstractNumId="14">
    <w:nsid w:val="6F196E76"/>
    <w:multiLevelType w:val="hybridMultilevel"/>
    <w:tmpl w:val="E49A7836"/>
    <w:lvl w:ilvl="0" w:tplc="4190A77A">
      <w:start w:val="1"/>
      <w:numFmt w:val="decimal"/>
      <w:isLgl/>
      <w:lvlText w:val="%1."/>
      <w:lvlJc w:val="left"/>
      <w:pPr>
        <w:tabs>
          <w:tab w:val="num" w:pos="0"/>
        </w:tabs>
        <w:ind w:left="360" w:hanging="360"/>
      </w:pPr>
    </w:lvl>
    <w:lvl w:ilvl="1" w:tplc="6C3828CE">
      <w:start w:val="1"/>
      <w:numFmt w:val="decimal"/>
      <w:isLgl/>
      <w:lvlText w:val="%2)"/>
      <w:lvlJc w:val="left"/>
      <w:pPr>
        <w:tabs>
          <w:tab w:val="num" w:pos="0"/>
        </w:tabs>
        <w:ind w:left="1455" w:hanging="375"/>
      </w:pPr>
    </w:lvl>
    <w:lvl w:ilvl="2" w:tplc="D67AC2BA">
      <w:start w:val="1"/>
      <w:numFmt w:val="lowerRoman"/>
      <w:isLgl/>
      <w:lvlText w:val="%3."/>
      <w:lvlJc w:val="right"/>
      <w:pPr>
        <w:tabs>
          <w:tab w:val="num" w:pos="0"/>
        </w:tabs>
        <w:ind w:left="2160" w:hanging="180"/>
      </w:pPr>
    </w:lvl>
    <w:lvl w:ilvl="3" w:tplc="0D2E1374">
      <w:start w:val="1"/>
      <w:numFmt w:val="decimal"/>
      <w:isLgl/>
      <w:lvlText w:val="%4."/>
      <w:lvlJc w:val="left"/>
      <w:pPr>
        <w:tabs>
          <w:tab w:val="num" w:pos="0"/>
        </w:tabs>
        <w:ind w:left="2880" w:hanging="360"/>
      </w:pPr>
    </w:lvl>
    <w:lvl w:ilvl="4" w:tplc="AAB2E252">
      <w:start w:val="1"/>
      <w:numFmt w:val="lowerLetter"/>
      <w:isLgl/>
      <w:lvlText w:val="%5."/>
      <w:lvlJc w:val="left"/>
      <w:pPr>
        <w:tabs>
          <w:tab w:val="num" w:pos="0"/>
        </w:tabs>
        <w:ind w:left="3600" w:hanging="360"/>
      </w:pPr>
    </w:lvl>
    <w:lvl w:ilvl="5" w:tplc="0C5C9890">
      <w:start w:val="1"/>
      <w:numFmt w:val="lowerRoman"/>
      <w:isLgl/>
      <w:lvlText w:val="%6."/>
      <w:lvlJc w:val="right"/>
      <w:pPr>
        <w:tabs>
          <w:tab w:val="num" w:pos="0"/>
        </w:tabs>
        <w:ind w:left="4320" w:hanging="180"/>
      </w:pPr>
    </w:lvl>
    <w:lvl w:ilvl="6" w:tplc="4BCC67EA">
      <w:start w:val="1"/>
      <w:numFmt w:val="decimal"/>
      <w:isLgl/>
      <w:lvlText w:val="%7."/>
      <w:lvlJc w:val="left"/>
      <w:pPr>
        <w:tabs>
          <w:tab w:val="num" w:pos="0"/>
        </w:tabs>
        <w:ind w:left="5040" w:hanging="360"/>
      </w:pPr>
    </w:lvl>
    <w:lvl w:ilvl="7" w:tplc="14F41F66">
      <w:start w:val="1"/>
      <w:numFmt w:val="lowerLetter"/>
      <w:isLgl/>
      <w:lvlText w:val="%8."/>
      <w:lvlJc w:val="left"/>
      <w:pPr>
        <w:tabs>
          <w:tab w:val="num" w:pos="0"/>
        </w:tabs>
        <w:ind w:left="5760" w:hanging="360"/>
      </w:pPr>
    </w:lvl>
    <w:lvl w:ilvl="8" w:tplc="FA2E7880">
      <w:start w:val="1"/>
      <w:numFmt w:val="lowerRoman"/>
      <w:isLgl/>
      <w:lvlText w:val="%9."/>
      <w:lvlJc w:val="right"/>
      <w:pPr>
        <w:tabs>
          <w:tab w:val="num" w:pos="0"/>
        </w:tabs>
        <w:ind w:left="6480" w:hanging="180"/>
      </w:pPr>
    </w:lvl>
  </w:abstractNum>
  <w:abstractNum w:abstractNumId="15">
    <w:nsid w:val="7CFB7725"/>
    <w:multiLevelType w:val="hybridMultilevel"/>
    <w:tmpl w:val="36D27B36"/>
    <w:lvl w:ilvl="0" w:tplc="5ADE8184">
      <w:start w:val="1"/>
      <w:numFmt w:val="decimal"/>
      <w:isLgl/>
      <w:lvlText w:val="%1."/>
      <w:lvlJc w:val="left"/>
      <w:pPr>
        <w:tabs>
          <w:tab w:val="num" w:pos="0"/>
        </w:tabs>
        <w:ind w:left="720" w:hanging="360"/>
      </w:pPr>
    </w:lvl>
    <w:lvl w:ilvl="1" w:tplc="1D243D44">
      <w:start w:val="1"/>
      <w:numFmt w:val="lowerLetter"/>
      <w:isLgl/>
      <w:lvlText w:val="%2."/>
      <w:lvlJc w:val="left"/>
      <w:pPr>
        <w:tabs>
          <w:tab w:val="num" w:pos="0"/>
        </w:tabs>
        <w:ind w:left="1440" w:hanging="360"/>
      </w:pPr>
    </w:lvl>
    <w:lvl w:ilvl="2" w:tplc="C7BC0834">
      <w:start w:val="1"/>
      <w:numFmt w:val="lowerRoman"/>
      <w:isLgl/>
      <w:lvlText w:val="%3."/>
      <w:lvlJc w:val="right"/>
      <w:pPr>
        <w:tabs>
          <w:tab w:val="num" w:pos="0"/>
        </w:tabs>
        <w:ind w:left="2160" w:hanging="180"/>
      </w:pPr>
    </w:lvl>
    <w:lvl w:ilvl="3" w:tplc="25F4711E">
      <w:start w:val="1"/>
      <w:numFmt w:val="decimal"/>
      <w:isLgl/>
      <w:lvlText w:val="%4."/>
      <w:lvlJc w:val="left"/>
      <w:pPr>
        <w:tabs>
          <w:tab w:val="num" w:pos="0"/>
        </w:tabs>
        <w:ind w:left="2880" w:hanging="360"/>
      </w:pPr>
    </w:lvl>
    <w:lvl w:ilvl="4" w:tplc="FBF8E384">
      <w:start w:val="1"/>
      <w:numFmt w:val="lowerLetter"/>
      <w:isLgl/>
      <w:lvlText w:val="%5."/>
      <w:lvlJc w:val="left"/>
      <w:pPr>
        <w:tabs>
          <w:tab w:val="num" w:pos="0"/>
        </w:tabs>
        <w:ind w:left="3600" w:hanging="360"/>
      </w:pPr>
    </w:lvl>
    <w:lvl w:ilvl="5" w:tplc="BE5EC8E2">
      <w:start w:val="1"/>
      <w:numFmt w:val="lowerRoman"/>
      <w:isLgl/>
      <w:lvlText w:val="%6."/>
      <w:lvlJc w:val="right"/>
      <w:pPr>
        <w:tabs>
          <w:tab w:val="num" w:pos="0"/>
        </w:tabs>
        <w:ind w:left="4320" w:hanging="180"/>
      </w:pPr>
    </w:lvl>
    <w:lvl w:ilvl="6" w:tplc="056A3490">
      <w:start w:val="1"/>
      <w:numFmt w:val="decimal"/>
      <w:isLgl/>
      <w:lvlText w:val="%7."/>
      <w:lvlJc w:val="left"/>
      <w:pPr>
        <w:tabs>
          <w:tab w:val="num" w:pos="0"/>
        </w:tabs>
        <w:ind w:left="5040" w:hanging="360"/>
      </w:pPr>
    </w:lvl>
    <w:lvl w:ilvl="7" w:tplc="D4BCDD6E">
      <w:start w:val="1"/>
      <w:numFmt w:val="lowerLetter"/>
      <w:isLgl/>
      <w:lvlText w:val="%8."/>
      <w:lvlJc w:val="left"/>
      <w:pPr>
        <w:tabs>
          <w:tab w:val="num" w:pos="0"/>
        </w:tabs>
        <w:ind w:left="5760" w:hanging="360"/>
      </w:pPr>
    </w:lvl>
    <w:lvl w:ilvl="8" w:tplc="791A54A8">
      <w:start w:val="1"/>
      <w:numFmt w:val="lowerRoman"/>
      <w:isLgl/>
      <w:lvlText w:val="%9."/>
      <w:lvlJc w:val="right"/>
      <w:pPr>
        <w:tabs>
          <w:tab w:val="num" w:pos="0"/>
        </w:tabs>
        <w:ind w:left="6480" w:hanging="180"/>
      </w:pPr>
    </w:lvl>
  </w:abstractNum>
  <w:num w:numId="1">
    <w:abstractNumId w:val="3"/>
  </w:num>
  <w:num w:numId="2">
    <w:abstractNumId w:val="0"/>
  </w:num>
  <w:num w:numId="3">
    <w:abstractNumId w:val="8"/>
  </w:num>
  <w:num w:numId="4">
    <w:abstractNumId w:val="13"/>
  </w:num>
  <w:num w:numId="5">
    <w:abstractNumId w:val="14"/>
  </w:num>
  <w:num w:numId="6">
    <w:abstractNumId w:val="7"/>
  </w:num>
  <w:num w:numId="7">
    <w:abstractNumId w:val="6"/>
  </w:num>
  <w:num w:numId="8">
    <w:abstractNumId w:val="1"/>
  </w:num>
  <w:num w:numId="9">
    <w:abstractNumId w:val="10"/>
  </w:num>
  <w:num w:numId="10">
    <w:abstractNumId w:val="12"/>
  </w:num>
  <w:num w:numId="11">
    <w:abstractNumId w:val="9"/>
  </w:num>
  <w:num w:numId="12">
    <w:abstractNumId w:val="2"/>
  </w:num>
  <w:num w:numId="13">
    <w:abstractNumId w:val="15"/>
  </w:num>
  <w:num w:numId="14">
    <w:abstractNumId w:val="5"/>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9"/>
  <w:characterSpacingControl w:val="doNotCompress"/>
  <w:footnotePr>
    <w:footnote w:id="-1"/>
    <w:footnote w:id="0"/>
  </w:footnotePr>
  <w:endnotePr>
    <w:endnote w:id="-1"/>
    <w:endnote w:id="0"/>
  </w:endnotePr>
  <w:compat/>
  <w:rsids>
    <w:rsidRoot w:val="00B52DE3"/>
    <w:rsid w:val="00144803"/>
    <w:rsid w:val="00146E39"/>
    <w:rsid w:val="001918ED"/>
    <w:rsid w:val="001A5B25"/>
    <w:rsid w:val="002569BF"/>
    <w:rsid w:val="003347CB"/>
    <w:rsid w:val="00377D64"/>
    <w:rsid w:val="004334E9"/>
    <w:rsid w:val="00437FC7"/>
    <w:rsid w:val="00500CFB"/>
    <w:rsid w:val="00537978"/>
    <w:rsid w:val="00570B7F"/>
    <w:rsid w:val="005A28E8"/>
    <w:rsid w:val="005B6665"/>
    <w:rsid w:val="005C6A55"/>
    <w:rsid w:val="006931B7"/>
    <w:rsid w:val="006D39DE"/>
    <w:rsid w:val="00706D4F"/>
    <w:rsid w:val="0077297C"/>
    <w:rsid w:val="00783106"/>
    <w:rsid w:val="007A5004"/>
    <w:rsid w:val="007A6833"/>
    <w:rsid w:val="00806DCF"/>
    <w:rsid w:val="00846F6A"/>
    <w:rsid w:val="00920545"/>
    <w:rsid w:val="0094277C"/>
    <w:rsid w:val="00A70656"/>
    <w:rsid w:val="00A822AA"/>
    <w:rsid w:val="00AA733C"/>
    <w:rsid w:val="00B52DE3"/>
    <w:rsid w:val="00B742ED"/>
    <w:rsid w:val="00BB0AEC"/>
    <w:rsid w:val="00CA70CD"/>
    <w:rsid w:val="00CD1F55"/>
    <w:rsid w:val="00CE71D7"/>
    <w:rsid w:val="00D874CB"/>
    <w:rsid w:val="00D94F0C"/>
    <w:rsid w:val="00DE73E3"/>
    <w:rsid w:val="00E93692"/>
    <w:rsid w:val="00ED65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ahoma" w:hAnsi="Times New Roman" w:cs="Noto San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DE3"/>
    <w:pPr>
      <w:spacing w:after="200" w:line="276" w:lineRule="auto"/>
    </w:pPr>
    <w:rPr>
      <w:rFonts w:ascii="Calibri" w:eastAsia="Calibri" w:hAnsi="Calibri"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12"/>
    <w:qFormat/>
    <w:rsid w:val="00B52DE3"/>
    <w:pPr>
      <w:keepNext/>
      <w:keepLines/>
      <w:spacing w:before="480" w:after="0"/>
      <w:outlineLvl w:val="0"/>
    </w:pPr>
    <w:rPr>
      <w:rFonts w:ascii="Cambria" w:eastAsia="Arial" w:hAnsi="Cambria"/>
      <w:b/>
      <w:bCs/>
      <w:color w:val="365F91"/>
      <w:sz w:val="28"/>
      <w:szCs w:val="28"/>
    </w:rPr>
  </w:style>
  <w:style w:type="paragraph" w:customStyle="1" w:styleId="Heading2">
    <w:name w:val="Heading 2"/>
    <w:basedOn w:val="a"/>
    <w:next w:val="a"/>
    <w:link w:val="21"/>
    <w:qFormat/>
    <w:rsid w:val="00B52DE3"/>
    <w:pPr>
      <w:keepNext/>
      <w:spacing w:before="240" w:after="60" w:line="240" w:lineRule="auto"/>
      <w:outlineLvl w:val="1"/>
    </w:pPr>
    <w:rPr>
      <w:rFonts w:ascii="Arial" w:eastAsia="Times New Roman" w:hAnsi="Arial" w:cs="Times New Roman"/>
      <w:b/>
      <w:bCs/>
      <w:i/>
      <w:iCs/>
      <w:sz w:val="28"/>
      <w:szCs w:val="28"/>
      <w:lang w:eastAsia="ru-RU"/>
    </w:rPr>
  </w:style>
  <w:style w:type="paragraph" w:customStyle="1" w:styleId="Heading3">
    <w:name w:val="Heading 3"/>
    <w:basedOn w:val="a"/>
    <w:next w:val="a"/>
    <w:link w:val="3"/>
    <w:qFormat/>
    <w:rsid w:val="00B52DE3"/>
    <w:pPr>
      <w:keepNext/>
      <w:spacing w:before="240" w:after="60" w:line="240" w:lineRule="auto"/>
      <w:outlineLvl w:val="2"/>
    </w:pPr>
    <w:rPr>
      <w:rFonts w:ascii="Arial" w:eastAsia="Times New Roman" w:hAnsi="Arial"/>
      <w:b/>
      <w:bCs/>
      <w:sz w:val="26"/>
      <w:szCs w:val="26"/>
      <w:lang w:eastAsia="ru-RU"/>
    </w:rPr>
  </w:style>
  <w:style w:type="paragraph" w:customStyle="1" w:styleId="Heading4">
    <w:name w:val="Heading 4"/>
    <w:basedOn w:val="a"/>
    <w:next w:val="a"/>
    <w:link w:val="4"/>
    <w:qFormat/>
    <w:rsid w:val="00B52DE3"/>
    <w:pPr>
      <w:keepNext/>
      <w:spacing w:before="240" w:after="60" w:line="240" w:lineRule="auto"/>
      <w:outlineLvl w:val="3"/>
    </w:pPr>
    <w:rPr>
      <w:rFonts w:ascii="Times New Roman" w:eastAsia="Times New Roman" w:hAnsi="Times New Roman" w:cs="Times New Roman"/>
      <w:b/>
      <w:bCs/>
      <w:sz w:val="28"/>
      <w:szCs w:val="28"/>
      <w:lang w:eastAsia="ru-RU"/>
    </w:rPr>
  </w:style>
  <w:style w:type="paragraph" w:customStyle="1" w:styleId="Heading5">
    <w:name w:val="Heading 5"/>
    <w:basedOn w:val="a"/>
    <w:next w:val="a"/>
    <w:link w:val="5"/>
    <w:qFormat/>
    <w:rsid w:val="00B52DE3"/>
    <w:pPr>
      <w:spacing w:before="240" w:after="60" w:line="240" w:lineRule="auto"/>
      <w:outlineLvl w:val="4"/>
    </w:pPr>
    <w:rPr>
      <w:rFonts w:ascii="Times New Roman" w:eastAsia="Times New Roman" w:hAnsi="Times New Roman" w:cs="Times New Roman"/>
      <w:b/>
      <w:i/>
      <w:sz w:val="26"/>
      <w:szCs w:val="20"/>
      <w:lang w:eastAsia="ru-RU"/>
    </w:rPr>
  </w:style>
  <w:style w:type="paragraph" w:customStyle="1" w:styleId="Heading6">
    <w:name w:val="Heading 6"/>
    <w:basedOn w:val="a"/>
    <w:next w:val="a"/>
    <w:link w:val="61"/>
    <w:qFormat/>
    <w:rsid w:val="00B52DE3"/>
    <w:pPr>
      <w:spacing w:before="240" w:after="60" w:line="240" w:lineRule="auto"/>
      <w:outlineLvl w:val="5"/>
    </w:pPr>
    <w:rPr>
      <w:rFonts w:ascii="Times New Roman" w:eastAsia="Times New Roman" w:hAnsi="Times New Roman" w:cs="Times New Roman"/>
      <w:b/>
      <w:bCs/>
      <w:lang w:eastAsia="ru-RU"/>
    </w:rPr>
  </w:style>
  <w:style w:type="paragraph" w:customStyle="1" w:styleId="Heading7">
    <w:name w:val="Heading 7"/>
    <w:basedOn w:val="a"/>
    <w:next w:val="a"/>
    <w:link w:val="71"/>
    <w:qFormat/>
    <w:rsid w:val="00B52DE3"/>
    <w:pPr>
      <w:spacing w:before="240" w:after="60" w:line="240" w:lineRule="auto"/>
      <w:outlineLvl w:val="6"/>
    </w:pPr>
    <w:rPr>
      <w:rFonts w:ascii="Times New Roman" w:eastAsia="Times New Roman" w:hAnsi="Times New Roman" w:cs="Times New Roman"/>
      <w:sz w:val="24"/>
      <w:szCs w:val="24"/>
      <w:lang w:eastAsia="ru-RU"/>
    </w:rPr>
  </w:style>
  <w:style w:type="paragraph" w:customStyle="1" w:styleId="Heading8">
    <w:name w:val="Heading 8"/>
    <w:basedOn w:val="a"/>
    <w:next w:val="a"/>
    <w:link w:val="81"/>
    <w:qFormat/>
    <w:rsid w:val="00B52DE3"/>
    <w:pPr>
      <w:keepNext/>
      <w:keepLines/>
      <w:spacing w:before="320"/>
      <w:outlineLvl w:val="7"/>
    </w:pPr>
    <w:rPr>
      <w:rFonts w:ascii="Arial" w:eastAsia="Arial" w:hAnsi="Arial"/>
      <w:i/>
      <w:iCs/>
    </w:rPr>
  </w:style>
  <w:style w:type="paragraph" w:customStyle="1" w:styleId="Heading9">
    <w:name w:val="Heading 9"/>
    <w:basedOn w:val="a"/>
    <w:next w:val="a"/>
    <w:link w:val="91"/>
    <w:qFormat/>
    <w:rsid w:val="00B52DE3"/>
    <w:pPr>
      <w:keepNext/>
      <w:keepLines/>
      <w:spacing w:before="320"/>
      <w:outlineLvl w:val="8"/>
    </w:pPr>
    <w:rPr>
      <w:rFonts w:ascii="Arial" w:eastAsia="Arial" w:hAnsi="Arial"/>
      <w:i/>
      <w:iCs/>
      <w:sz w:val="21"/>
      <w:szCs w:val="21"/>
    </w:rPr>
  </w:style>
  <w:style w:type="character" w:customStyle="1" w:styleId="Heading1Char">
    <w:name w:val="Heading 1 Char"/>
    <w:basedOn w:val="a0"/>
    <w:qFormat/>
    <w:rsid w:val="00B52DE3"/>
    <w:rPr>
      <w:rFonts w:ascii="Arial" w:eastAsia="Arial" w:hAnsi="Arial" w:cs="Arial"/>
      <w:sz w:val="40"/>
      <w:szCs w:val="40"/>
    </w:rPr>
  </w:style>
  <w:style w:type="character" w:customStyle="1" w:styleId="Heading2Char">
    <w:name w:val="Heading 2 Char"/>
    <w:basedOn w:val="a0"/>
    <w:qFormat/>
    <w:rsid w:val="00B52DE3"/>
    <w:rPr>
      <w:rFonts w:ascii="Arial" w:eastAsia="Arial" w:hAnsi="Arial" w:cs="Arial"/>
      <w:sz w:val="34"/>
    </w:rPr>
  </w:style>
  <w:style w:type="character" w:customStyle="1" w:styleId="Heading3Char">
    <w:name w:val="Heading 3 Char"/>
    <w:basedOn w:val="a0"/>
    <w:qFormat/>
    <w:rsid w:val="00B52DE3"/>
    <w:rPr>
      <w:rFonts w:ascii="Arial" w:eastAsia="Arial" w:hAnsi="Arial" w:cs="Arial"/>
      <w:sz w:val="30"/>
      <w:szCs w:val="30"/>
    </w:rPr>
  </w:style>
  <w:style w:type="character" w:customStyle="1" w:styleId="Heading4Char">
    <w:name w:val="Heading 4 Char"/>
    <w:basedOn w:val="a0"/>
    <w:qFormat/>
    <w:rsid w:val="00B52DE3"/>
    <w:rPr>
      <w:rFonts w:ascii="Arial" w:eastAsia="Arial" w:hAnsi="Arial" w:cs="Arial"/>
      <w:b/>
      <w:bCs/>
      <w:sz w:val="26"/>
      <w:szCs w:val="26"/>
    </w:rPr>
  </w:style>
  <w:style w:type="character" w:customStyle="1" w:styleId="Heading5Char">
    <w:name w:val="Heading 5 Char"/>
    <w:basedOn w:val="a0"/>
    <w:qFormat/>
    <w:rsid w:val="00B52DE3"/>
    <w:rPr>
      <w:rFonts w:ascii="Arial" w:eastAsia="Arial" w:hAnsi="Arial" w:cs="Arial"/>
      <w:b/>
      <w:bCs/>
      <w:sz w:val="24"/>
      <w:szCs w:val="24"/>
    </w:rPr>
  </w:style>
  <w:style w:type="character" w:customStyle="1" w:styleId="Heading6Char">
    <w:name w:val="Heading 6 Char"/>
    <w:basedOn w:val="a0"/>
    <w:qFormat/>
    <w:rsid w:val="00B52DE3"/>
    <w:rPr>
      <w:rFonts w:ascii="Arial" w:eastAsia="Arial" w:hAnsi="Arial" w:cs="Arial"/>
      <w:b/>
      <w:bCs/>
      <w:sz w:val="22"/>
      <w:szCs w:val="22"/>
    </w:rPr>
  </w:style>
  <w:style w:type="character" w:customStyle="1" w:styleId="Heading7Char">
    <w:name w:val="Heading 7 Char"/>
    <w:basedOn w:val="a0"/>
    <w:qFormat/>
    <w:rsid w:val="00B52DE3"/>
    <w:rPr>
      <w:rFonts w:ascii="Arial" w:eastAsia="Arial" w:hAnsi="Arial" w:cs="Arial"/>
      <w:b/>
      <w:bCs/>
      <w:i/>
      <w:iCs/>
      <w:sz w:val="22"/>
      <w:szCs w:val="22"/>
    </w:rPr>
  </w:style>
  <w:style w:type="character" w:customStyle="1" w:styleId="Heading8Char">
    <w:name w:val="Heading 8 Char"/>
    <w:basedOn w:val="a0"/>
    <w:qFormat/>
    <w:rsid w:val="00B52DE3"/>
    <w:rPr>
      <w:rFonts w:ascii="Arial" w:eastAsia="Arial" w:hAnsi="Arial" w:cs="Arial"/>
      <w:i/>
      <w:iCs/>
      <w:sz w:val="22"/>
      <w:szCs w:val="22"/>
    </w:rPr>
  </w:style>
  <w:style w:type="character" w:customStyle="1" w:styleId="Heading9Char">
    <w:name w:val="Heading 9 Char"/>
    <w:basedOn w:val="a0"/>
    <w:qFormat/>
    <w:rsid w:val="00B52DE3"/>
    <w:rPr>
      <w:rFonts w:ascii="Arial" w:eastAsia="Arial" w:hAnsi="Arial" w:cs="Arial"/>
      <w:i/>
      <w:iCs/>
      <w:sz w:val="21"/>
      <w:szCs w:val="21"/>
    </w:rPr>
  </w:style>
  <w:style w:type="character" w:customStyle="1" w:styleId="TitleChar">
    <w:name w:val="Title Char"/>
    <w:basedOn w:val="a0"/>
    <w:qFormat/>
    <w:rsid w:val="00B52DE3"/>
    <w:rPr>
      <w:sz w:val="48"/>
      <w:szCs w:val="48"/>
    </w:rPr>
  </w:style>
  <w:style w:type="character" w:customStyle="1" w:styleId="SubtitleChar">
    <w:name w:val="Subtitle Char"/>
    <w:basedOn w:val="a0"/>
    <w:qFormat/>
    <w:rsid w:val="00B52DE3"/>
    <w:rPr>
      <w:sz w:val="24"/>
      <w:szCs w:val="24"/>
    </w:rPr>
  </w:style>
  <w:style w:type="character" w:customStyle="1" w:styleId="HeaderChar">
    <w:name w:val="Header Char"/>
    <w:basedOn w:val="a0"/>
    <w:qFormat/>
    <w:rsid w:val="00B52DE3"/>
  </w:style>
  <w:style w:type="character" w:customStyle="1" w:styleId="CaptionChar">
    <w:name w:val="Caption Char"/>
    <w:qFormat/>
    <w:rsid w:val="00B52DE3"/>
  </w:style>
  <w:style w:type="character" w:customStyle="1" w:styleId="FootnoteTextChar">
    <w:name w:val="Footnote Text Char"/>
    <w:qFormat/>
    <w:rsid w:val="00B52DE3"/>
    <w:rPr>
      <w:sz w:val="18"/>
    </w:rPr>
  </w:style>
  <w:style w:type="character" w:customStyle="1" w:styleId="EndnoteTextChar">
    <w:name w:val="Endnote Text Char"/>
    <w:qFormat/>
    <w:rsid w:val="00B52DE3"/>
    <w:rPr>
      <w:sz w:val="20"/>
    </w:rPr>
  </w:style>
  <w:style w:type="character" w:styleId="a3">
    <w:name w:val="Hyperlink"/>
    <w:uiPriority w:val="99"/>
    <w:rsid w:val="00B52DE3"/>
    <w:rPr>
      <w:color w:val="0000FF"/>
      <w:u w:val="single"/>
    </w:rPr>
  </w:style>
  <w:style w:type="character" w:customStyle="1" w:styleId="a4">
    <w:name w:val="Символ сноски"/>
    <w:qFormat/>
    <w:rsid w:val="00B52DE3"/>
    <w:rPr>
      <w:vertAlign w:val="superscript"/>
    </w:rPr>
  </w:style>
  <w:style w:type="character" w:styleId="a5">
    <w:name w:val="footnote reference"/>
    <w:rsid w:val="00B52DE3"/>
    <w:rPr>
      <w:vertAlign w:val="superscript"/>
    </w:rPr>
  </w:style>
  <w:style w:type="character" w:customStyle="1" w:styleId="a6">
    <w:name w:val="Символ концевой сноски"/>
    <w:qFormat/>
    <w:rsid w:val="00B52DE3"/>
    <w:rPr>
      <w:vertAlign w:val="superscript"/>
    </w:rPr>
  </w:style>
  <w:style w:type="character" w:styleId="a7">
    <w:name w:val="endnote reference"/>
    <w:rsid w:val="00B52DE3"/>
    <w:rPr>
      <w:vertAlign w:val="superscript"/>
    </w:rPr>
  </w:style>
  <w:style w:type="character" w:customStyle="1" w:styleId="FootnoteCharacters">
    <w:name w:val="Footnote Characters"/>
    <w:qFormat/>
    <w:rsid w:val="00B52DE3"/>
    <w:rPr>
      <w:vertAlign w:val="superscript"/>
    </w:rPr>
  </w:style>
  <w:style w:type="character" w:customStyle="1" w:styleId="EndnoteCharacters">
    <w:name w:val="Endnote Characters"/>
    <w:qFormat/>
    <w:rsid w:val="00B52DE3"/>
    <w:rPr>
      <w:vertAlign w:val="superscript"/>
    </w:rPr>
  </w:style>
  <w:style w:type="character" w:customStyle="1" w:styleId="1">
    <w:name w:val="Основной шрифт абзаца1"/>
    <w:qFormat/>
    <w:rsid w:val="00B52DE3"/>
  </w:style>
  <w:style w:type="character" w:customStyle="1" w:styleId="81">
    <w:name w:val="Заголовок 8 Знак1"/>
    <w:link w:val="Heading8"/>
    <w:qFormat/>
    <w:rsid w:val="00B52DE3"/>
    <w:rPr>
      <w:rFonts w:ascii="Arial" w:eastAsia="Arial" w:hAnsi="Arial" w:cs="Arial"/>
      <w:i/>
      <w:iCs/>
      <w:sz w:val="22"/>
      <w:szCs w:val="22"/>
    </w:rPr>
  </w:style>
  <w:style w:type="character" w:customStyle="1" w:styleId="91">
    <w:name w:val="Заголовок 9 Знак1"/>
    <w:link w:val="Heading9"/>
    <w:qFormat/>
    <w:rsid w:val="00B52DE3"/>
    <w:rPr>
      <w:rFonts w:ascii="Arial" w:eastAsia="Arial" w:hAnsi="Arial" w:cs="Arial"/>
      <w:i/>
      <w:iCs/>
      <w:sz w:val="21"/>
      <w:szCs w:val="21"/>
    </w:rPr>
  </w:style>
  <w:style w:type="character" w:customStyle="1" w:styleId="10">
    <w:name w:val="Название Знак1"/>
    <w:link w:val="a8"/>
    <w:qFormat/>
    <w:rsid w:val="00B52DE3"/>
    <w:rPr>
      <w:sz w:val="48"/>
      <w:szCs w:val="48"/>
    </w:rPr>
  </w:style>
  <w:style w:type="character" w:customStyle="1" w:styleId="QuoteChar">
    <w:name w:val="Quote Char"/>
    <w:qFormat/>
    <w:rsid w:val="00B52DE3"/>
    <w:rPr>
      <w:i/>
    </w:rPr>
  </w:style>
  <w:style w:type="character" w:customStyle="1" w:styleId="IntenseQuoteChar">
    <w:name w:val="Intense Quote Char"/>
    <w:qFormat/>
    <w:rsid w:val="00B52DE3"/>
    <w:rPr>
      <w:i/>
    </w:rPr>
  </w:style>
  <w:style w:type="character" w:customStyle="1" w:styleId="11">
    <w:name w:val="Текст сноски Знак1"/>
    <w:link w:val="a9"/>
    <w:qFormat/>
    <w:rsid w:val="00B52DE3"/>
    <w:rPr>
      <w:sz w:val="18"/>
    </w:rPr>
  </w:style>
  <w:style w:type="character" w:customStyle="1" w:styleId="13">
    <w:name w:val="Текст концевой сноски Знак1"/>
    <w:link w:val="aa"/>
    <w:qFormat/>
    <w:rsid w:val="00B52DE3"/>
    <w:rPr>
      <w:sz w:val="20"/>
    </w:rPr>
  </w:style>
  <w:style w:type="character" w:customStyle="1" w:styleId="12">
    <w:name w:val="Заголовок 1 Знак2"/>
    <w:link w:val="Heading1"/>
    <w:qFormat/>
    <w:rsid w:val="00B52DE3"/>
    <w:rPr>
      <w:rFonts w:ascii="Arial" w:eastAsia="Arial" w:hAnsi="Arial" w:cs="Arial"/>
      <w:sz w:val="40"/>
      <w:szCs w:val="40"/>
    </w:rPr>
  </w:style>
  <w:style w:type="character" w:customStyle="1" w:styleId="21">
    <w:name w:val="Заголовок 2 Знак1"/>
    <w:link w:val="Heading2"/>
    <w:qFormat/>
    <w:rsid w:val="00B52DE3"/>
    <w:rPr>
      <w:rFonts w:ascii="Arial" w:eastAsia="Arial" w:hAnsi="Arial" w:cs="Arial"/>
      <w:sz w:val="34"/>
    </w:rPr>
  </w:style>
  <w:style w:type="character" w:customStyle="1" w:styleId="3">
    <w:name w:val="Заголовок 3 Знак"/>
    <w:link w:val="Heading3"/>
    <w:qFormat/>
    <w:rsid w:val="00B52DE3"/>
    <w:rPr>
      <w:rFonts w:ascii="Arial" w:eastAsia="Arial" w:hAnsi="Arial" w:cs="Arial"/>
      <w:sz w:val="30"/>
      <w:szCs w:val="30"/>
    </w:rPr>
  </w:style>
  <w:style w:type="character" w:customStyle="1" w:styleId="4">
    <w:name w:val="Заголовок 4 Знак"/>
    <w:link w:val="Heading4"/>
    <w:qFormat/>
    <w:rsid w:val="00B52DE3"/>
    <w:rPr>
      <w:rFonts w:ascii="Arial" w:eastAsia="Arial" w:hAnsi="Arial" w:cs="Arial"/>
      <w:b/>
      <w:bCs/>
      <w:sz w:val="26"/>
      <w:szCs w:val="26"/>
    </w:rPr>
  </w:style>
  <w:style w:type="character" w:customStyle="1" w:styleId="5">
    <w:name w:val="Заголовок 5 Знак"/>
    <w:link w:val="Heading5"/>
    <w:qFormat/>
    <w:rsid w:val="00B52DE3"/>
    <w:rPr>
      <w:rFonts w:ascii="Arial" w:eastAsia="Arial" w:hAnsi="Arial" w:cs="Arial"/>
      <w:b/>
      <w:bCs/>
      <w:sz w:val="24"/>
      <w:szCs w:val="24"/>
    </w:rPr>
  </w:style>
  <w:style w:type="character" w:customStyle="1" w:styleId="61">
    <w:name w:val="Заголовок 6 Знак1"/>
    <w:link w:val="Heading6"/>
    <w:qFormat/>
    <w:rsid w:val="00B52DE3"/>
    <w:rPr>
      <w:rFonts w:ascii="Arial" w:eastAsia="Arial" w:hAnsi="Arial" w:cs="Arial"/>
      <w:b/>
      <w:bCs/>
      <w:sz w:val="22"/>
      <w:szCs w:val="22"/>
    </w:rPr>
  </w:style>
  <w:style w:type="character" w:customStyle="1" w:styleId="71">
    <w:name w:val="Заголовок 7 Знак1"/>
    <w:link w:val="Heading7"/>
    <w:qFormat/>
    <w:rsid w:val="00B52DE3"/>
    <w:rPr>
      <w:rFonts w:ascii="Arial" w:eastAsia="Arial" w:hAnsi="Arial" w:cs="Arial"/>
      <w:b/>
      <w:bCs/>
      <w:i/>
      <w:iCs/>
      <w:sz w:val="22"/>
      <w:szCs w:val="22"/>
    </w:rPr>
  </w:style>
  <w:style w:type="character" w:customStyle="1" w:styleId="8">
    <w:name w:val="Заголовок 8 Знак"/>
    <w:qFormat/>
    <w:rsid w:val="00B52DE3"/>
    <w:rPr>
      <w:rFonts w:ascii="Arial" w:eastAsia="Arial" w:hAnsi="Arial" w:cs="Arial"/>
      <w:i/>
      <w:iCs/>
      <w:sz w:val="22"/>
      <w:szCs w:val="22"/>
    </w:rPr>
  </w:style>
  <w:style w:type="character" w:customStyle="1" w:styleId="9">
    <w:name w:val="Заголовок 9 Знак"/>
    <w:qFormat/>
    <w:rsid w:val="00B52DE3"/>
    <w:rPr>
      <w:rFonts w:ascii="Arial" w:eastAsia="Arial" w:hAnsi="Arial" w:cs="Arial"/>
      <w:i/>
      <w:iCs/>
      <w:sz w:val="21"/>
      <w:szCs w:val="21"/>
    </w:rPr>
  </w:style>
  <w:style w:type="character" w:customStyle="1" w:styleId="ab">
    <w:name w:val="Название Знак"/>
    <w:qFormat/>
    <w:rsid w:val="00B52DE3"/>
    <w:rPr>
      <w:sz w:val="48"/>
      <w:szCs w:val="48"/>
    </w:rPr>
  </w:style>
  <w:style w:type="character" w:customStyle="1" w:styleId="14">
    <w:name w:val="Подзаголовок Знак1"/>
    <w:link w:val="ac"/>
    <w:qFormat/>
    <w:rsid w:val="00B52DE3"/>
    <w:rPr>
      <w:sz w:val="24"/>
      <w:szCs w:val="24"/>
    </w:rPr>
  </w:style>
  <w:style w:type="character" w:customStyle="1" w:styleId="2">
    <w:name w:val="Цитата 2 Знак"/>
    <w:qFormat/>
    <w:rsid w:val="00B52DE3"/>
    <w:rPr>
      <w:i/>
    </w:rPr>
  </w:style>
  <w:style w:type="character" w:customStyle="1" w:styleId="ad">
    <w:name w:val="Выделенная цитата Знак"/>
    <w:qFormat/>
    <w:rsid w:val="00B52DE3"/>
    <w:rPr>
      <w:i/>
    </w:rPr>
  </w:style>
  <w:style w:type="character" w:customStyle="1" w:styleId="15">
    <w:name w:val="Верхний колонтитул Знак1"/>
    <w:basedOn w:val="a0"/>
    <w:link w:val="Header"/>
    <w:qFormat/>
    <w:rsid w:val="00B52DE3"/>
  </w:style>
  <w:style w:type="character" w:customStyle="1" w:styleId="FooterChar">
    <w:name w:val="Footer Char"/>
    <w:basedOn w:val="a0"/>
    <w:qFormat/>
    <w:rsid w:val="00B52DE3"/>
  </w:style>
  <w:style w:type="character" w:customStyle="1" w:styleId="20">
    <w:name w:val="Нижний колонтитул Знак2"/>
    <w:link w:val="Footer"/>
    <w:qFormat/>
    <w:rsid w:val="00B52DE3"/>
  </w:style>
  <w:style w:type="character" w:customStyle="1" w:styleId="ae">
    <w:name w:val="Текст сноски Знак"/>
    <w:qFormat/>
    <w:rsid w:val="00B52DE3"/>
    <w:rPr>
      <w:sz w:val="18"/>
    </w:rPr>
  </w:style>
  <w:style w:type="character" w:customStyle="1" w:styleId="16">
    <w:name w:val="Знак сноски1"/>
    <w:qFormat/>
    <w:rsid w:val="00B52DE3"/>
    <w:rPr>
      <w:vertAlign w:val="superscript"/>
    </w:rPr>
  </w:style>
  <w:style w:type="character" w:customStyle="1" w:styleId="af">
    <w:name w:val="Текст концевой сноски Знак"/>
    <w:qFormat/>
    <w:rsid w:val="00B52DE3"/>
    <w:rPr>
      <w:sz w:val="20"/>
    </w:rPr>
  </w:style>
  <w:style w:type="character" w:customStyle="1" w:styleId="17">
    <w:name w:val="Знак концевой сноски1"/>
    <w:qFormat/>
    <w:rsid w:val="00B52DE3"/>
    <w:rPr>
      <w:vertAlign w:val="superscript"/>
    </w:rPr>
  </w:style>
  <w:style w:type="character" w:customStyle="1" w:styleId="ConsPlusNormal">
    <w:name w:val="ConsPlusNormal Знак"/>
    <w:qFormat/>
    <w:rsid w:val="00B52DE3"/>
    <w:rPr>
      <w:rFonts w:ascii="Arial" w:eastAsia="Times New Roman" w:hAnsi="Arial" w:cs="Arial"/>
      <w:sz w:val="20"/>
      <w:szCs w:val="20"/>
      <w:lang w:eastAsia="ar-SA"/>
    </w:rPr>
  </w:style>
  <w:style w:type="character" w:styleId="af0">
    <w:name w:val="Emphasis"/>
    <w:qFormat/>
    <w:rsid w:val="00B52DE3"/>
    <w:rPr>
      <w:i/>
      <w:iCs/>
    </w:rPr>
  </w:style>
  <w:style w:type="character" w:customStyle="1" w:styleId="af1">
    <w:name w:val="Основной текст с отступом Знак"/>
    <w:qFormat/>
    <w:rsid w:val="00B52DE3"/>
    <w:rPr>
      <w:rFonts w:ascii="Times New Roman" w:eastAsia="Times New Roman" w:hAnsi="Times New Roman" w:cs="Times New Roman"/>
      <w:sz w:val="24"/>
      <w:szCs w:val="20"/>
    </w:rPr>
  </w:style>
  <w:style w:type="character" w:customStyle="1" w:styleId="af2">
    <w:name w:val="Основной текст Знак"/>
    <w:qFormat/>
    <w:rsid w:val="00B52DE3"/>
    <w:rPr>
      <w:rFonts w:ascii="Times New Roman" w:eastAsia="Times New Roman" w:hAnsi="Times New Roman" w:cs="Times New Roman"/>
      <w:sz w:val="20"/>
      <w:szCs w:val="20"/>
      <w:lang w:eastAsia="ru-RU"/>
    </w:rPr>
  </w:style>
  <w:style w:type="character" w:customStyle="1" w:styleId="22">
    <w:name w:val="Заголовок №2_"/>
    <w:qFormat/>
    <w:rsid w:val="00B52DE3"/>
    <w:rPr>
      <w:rFonts w:ascii="Times New Roman" w:hAnsi="Times New Roman" w:cs="Times New Roman"/>
      <w:b/>
      <w:bCs/>
      <w:sz w:val="27"/>
      <w:szCs w:val="27"/>
      <w:shd w:val="clear" w:color="auto" w:fill="FFFFFF"/>
    </w:rPr>
  </w:style>
  <w:style w:type="character" w:customStyle="1" w:styleId="220">
    <w:name w:val="Заголовок №22"/>
    <w:qFormat/>
    <w:rsid w:val="00B52DE3"/>
    <w:rPr>
      <w:rFonts w:ascii="Times New Roman" w:hAnsi="Times New Roman" w:cs="Times New Roman"/>
      <w:b/>
      <w:bCs/>
      <w:sz w:val="27"/>
      <w:szCs w:val="27"/>
      <w:shd w:val="clear" w:color="auto" w:fill="FFFFFF"/>
    </w:rPr>
  </w:style>
  <w:style w:type="character" w:customStyle="1" w:styleId="bx-messenger-message">
    <w:name w:val="bx-messenger-message"/>
    <w:basedOn w:val="a0"/>
    <w:qFormat/>
    <w:rsid w:val="00B52DE3"/>
  </w:style>
  <w:style w:type="character" w:customStyle="1" w:styleId="23">
    <w:name w:val="Заголовок №2"/>
    <w:qFormat/>
    <w:rsid w:val="00B52DE3"/>
    <w:rPr>
      <w:rFonts w:ascii="Times New Roman" w:hAnsi="Times New Roman" w:cs="Times New Roman"/>
      <w:b/>
      <w:bCs/>
      <w:sz w:val="27"/>
      <w:szCs w:val="27"/>
      <w:u w:val="none"/>
      <w:shd w:val="clear" w:color="auto" w:fill="FFFFFF"/>
    </w:rPr>
  </w:style>
  <w:style w:type="character" w:customStyle="1" w:styleId="bx-messenger-ajax">
    <w:name w:val="bx-messenger-ajax"/>
    <w:basedOn w:val="a0"/>
    <w:qFormat/>
    <w:rsid w:val="00B52DE3"/>
  </w:style>
  <w:style w:type="character" w:customStyle="1" w:styleId="af3">
    <w:name w:val="Без интервала Знак"/>
    <w:qFormat/>
    <w:rsid w:val="00B52DE3"/>
    <w:rPr>
      <w:rFonts w:ascii="Times New Roman" w:eastAsia="Times New Roman" w:hAnsi="Times New Roman" w:cs="Times New Roman"/>
      <w:sz w:val="24"/>
      <w:szCs w:val="24"/>
      <w:lang w:eastAsia="ru-RU"/>
    </w:rPr>
  </w:style>
  <w:style w:type="character" w:customStyle="1" w:styleId="af4">
    <w:name w:val="Абзац списка Знак"/>
    <w:qFormat/>
    <w:rsid w:val="00B52DE3"/>
  </w:style>
  <w:style w:type="character" w:customStyle="1" w:styleId="af5">
    <w:name w:val="Верхний колонтитул Знак"/>
    <w:qFormat/>
    <w:rsid w:val="00B52DE3"/>
    <w:rPr>
      <w:rFonts w:ascii="Times New Roman" w:eastAsia="Times New Roman" w:hAnsi="Times New Roman" w:cs="Times New Roman"/>
      <w:color w:val="000000"/>
      <w:sz w:val="28"/>
      <w:lang w:val="en-US"/>
    </w:rPr>
  </w:style>
  <w:style w:type="character" w:customStyle="1" w:styleId="18">
    <w:name w:val="Заголовок 1 Знак"/>
    <w:qFormat/>
    <w:rsid w:val="00B52DE3"/>
    <w:rPr>
      <w:rFonts w:ascii="Cambria" w:eastAsia="Arial" w:hAnsi="Cambria" w:cs="Arial"/>
      <w:b/>
      <w:bCs/>
      <w:color w:val="365F91"/>
      <w:sz w:val="28"/>
      <w:szCs w:val="28"/>
    </w:rPr>
  </w:style>
  <w:style w:type="character" w:customStyle="1" w:styleId="af6">
    <w:name w:val="Текст выноски Знак"/>
    <w:qFormat/>
    <w:rsid w:val="00B52DE3"/>
    <w:rPr>
      <w:rFonts w:ascii="Tahoma" w:hAnsi="Tahoma" w:cs="Tahoma"/>
      <w:sz w:val="16"/>
      <w:szCs w:val="16"/>
    </w:rPr>
  </w:style>
  <w:style w:type="character" w:customStyle="1" w:styleId="24">
    <w:name w:val="Основной текст 2 Знак"/>
    <w:qFormat/>
    <w:rsid w:val="00B52DE3"/>
    <w:rPr>
      <w:rFonts w:ascii="Times New Roman" w:eastAsia="Times New Roman" w:hAnsi="Times New Roman" w:cs="Times New Roman"/>
      <w:sz w:val="24"/>
      <w:szCs w:val="24"/>
      <w:lang w:eastAsia="ru-RU"/>
    </w:rPr>
  </w:style>
  <w:style w:type="character" w:customStyle="1" w:styleId="nposttext">
    <w:name w:val="npost_text"/>
    <w:qFormat/>
    <w:rsid w:val="00B52DE3"/>
    <w:rPr>
      <w:rFonts w:cs="Times New Roman"/>
    </w:rPr>
  </w:style>
  <w:style w:type="character" w:customStyle="1" w:styleId="Strong1">
    <w:name w:val="Strong1"/>
    <w:qFormat/>
    <w:rsid w:val="00B52DE3"/>
    <w:rPr>
      <w:rFonts w:cs="Times New Roman"/>
      <w:b/>
      <w:bCs/>
    </w:rPr>
  </w:style>
  <w:style w:type="character" w:customStyle="1" w:styleId="19">
    <w:name w:val="Гиперссылка1"/>
    <w:qFormat/>
    <w:rsid w:val="00B52DE3"/>
    <w:rPr>
      <w:color w:val="0066CC"/>
      <w:u w:val="single"/>
    </w:rPr>
  </w:style>
  <w:style w:type="character" w:customStyle="1" w:styleId="af7">
    <w:name w:val="Основной текст_"/>
    <w:qFormat/>
    <w:rsid w:val="00B52DE3"/>
    <w:rPr>
      <w:rFonts w:ascii="Times New Roman" w:eastAsia="Times New Roman" w:hAnsi="Times New Roman" w:cs="Times New Roman"/>
      <w:sz w:val="25"/>
      <w:szCs w:val="25"/>
      <w:shd w:val="clear" w:color="auto" w:fill="FFFFFF"/>
    </w:rPr>
  </w:style>
  <w:style w:type="character" w:customStyle="1" w:styleId="25">
    <w:name w:val="Основной текст (2)_"/>
    <w:qFormat/>
    <w:rsid w:val="00B52DE3"/>
    <w:rPr>
      <w:rFonts w:ascii="Times New Roman" w:eastAsia="Times New Roman" w:hAnsi="Times New Roman" w:cs="Times New Roman"/>
      <w:b/>
      <w:bCs/>
      <w:sz w:val="25"/>
      <w:szCs w:val="25"/>
      <w:shd w:val="clear" w:color="auto" w:fill="FFFFFF"/>
    </w:rPr>
  </w:style>
  <w:style w:type="character" w:customStyle="1" w:styleId="26">
    <w:name w:val="Основной текст (2) + Не полужирный"/>
    <w:qFormat/>
    <w:rsid w:val="00B52DE3"/>
    <w:rPr>
      <w:rFonts w:ascii="Times New Roman" w:eastAsia="Times New Roman" w:hAnsi="Times New Roman" w:cs="Times New Roman"/>
      <w:b/>
      <w:bCs/>
      <w:color w:val="000000"/>
      <w:spacing w:val="0"/>
      <w:sz w:val="25"/>
      <w:szCs w:val="25"/>
      <w:shd w:val="clear" w:color="auto" w:fill="FFFFFF"/>
      <w:lang w:val="ru-RU"/>
    </w:rPr>
  </w:style>
  <w:style w:type="character" w:customStyle="1" w:styleId="main-grid-cell-content">
    <w:name w:val="main-grid-cell-content"/>
    <w:basedOn w:val="a0"/>
    <w:qFormat/>
    <w:rsid w:val="00B52DE3"/>
  </w:style>
  <w:style w:type="character" w:customStyle="1" w:styleId="pagetitle-item">
    <w:name w:val="pagetitle-item"/>
    <w:basedOn w:val="a0"/>
    <w:qFormat/>
    <w:rsid w:val="00B52DE3"/>
  </w:style>
  <w:style w:type="character" w:customStyle="1" w:styleId="27">
    <w:name w:val="Основной текст с отступом 2 Знак"/>
    <w:basedOn w:val="a0"/>
    <w:qFormat/>
    <w:rsid w:val="00B52DE3"/>
  </w:style>
  <w:style w:type="character" w:customStyle="1" w:styleId="28">
    <w:name w:val="Заголовок 2 Знак"/>
    <w:qFormat/>
    <w:rsid w:val="00B52DE3"/>
    <w:rPr>
      <w:rFonts w:ascii="Arial" w:eastAsia="Times New Roman" w:hAnsi="Arial" w:cs="Times New Roman"/>
      <w:b/>
      <w:bCs/>
      <w:i/>
      <w:iCs/>
      <w:sz w:val="28"/>
      <w:szCs w:val="28"/>
      <w:lang w:eastAsia="ru-RU"/>
    </w:rPr>
  </w:style>
  <w:style w:type="character" w:customStyle="1" w:styleId="6">
    <w:name w:val="Заголовок 6 Знак"/>
    <w:qFormat/>
    <w:rsid w:val="00B52DE3"/>
    <w:rPr>
      <w:rFonts w:ascii="Times New Roman" w:eastAsia="Times New Roman" w:hAnsi="Times New Roman" w:cs="Times New Roman"/>
      <w:b/>
      <w:bCs/>
      <w:lang w:eastAsia="ru-RU"/>
    </w:rPr>
  </w:style>
  <w:style w:type="character" w:customStyle="1" w:styleId="7">
    <w:name w:val="Заголовок 7 Знак"/>
    <w:qFormat/>
    <w:rsid w:val="00B52DE3"/>
    <w:rPr>
      <w:rFonts w:ascii="Times New Roman" w:eastAsia="Times New Roman" w:hAnsi="Times New Roman" w:cs="Times New Roman"/>
      <w:sz w:val="24"/>
      <w:szCs w:val="24"/>
      <w:lang w:eastAsia="ru-RU"/>
    </w:rPr>
  </w:style>
  <w:style w:type="character" w:customStyle="1" w:styleId="itemtext">
    <w:name w:val="itemtext"/>
    <w:basedOn w:val="a0"/>
    <w:qFormat/>
    <w:rsid w:val="00B52DE3"/>
  </w:style>
  <w:style w:type="character" w:customStyle="1" w:styleId="af8">
    <w:name w:val="Красная строка Знак"/>
    <w:qFormat/>
    <w:rsid w:val="00B52DE3"/>
    <w:rPr>
      <w:rFonts w:ascii="Times New Roman" w:eastAsia="Arial" w:hAnsi="Times New Roman" w:cs="Times New Roman"/>
      <w:sz w:val="20"/>
      <w:szCs w:val="20"/>
      <w:lang w:eastAsia="ru-RU"/>
    </w:rPr>
  </w:style>
  <w:style w:type="character" w:customStyle="1" w:styleId="FontStyle15">
    <w:name w:val="Font Style15"/>
    <w:qFormat/>
    <w:rsid w:val="00B52DE3"/>
    <w:rPr>
      <w:rFonts w:ascii="Times New Roman" w:hAnsi="Times New Roman" w:cs="Times New Roman"/>
      <w:color w:val="000000"/>
      <w:sz w:val="26"/>
      <w:szCs w:val="26"/>
    </w:rPr>
  </w:style>
  <w:style w:type="character" w:customStyle="1" w:styleId="af9">
    <w:name w:val="Подзаголовок Знак"/>
    <w:qFormat/>
    <w:rsid w:val="00B52DE3"/>
    <w:rPr>
      <w:rFonts w:ascii="Arial" w:eastAsia="Times New Roman" w:hAnsi="Arial" w:cs="Arial"/>
      <w:sz w:val="24"/>
      <w:szCs w:val="24"/>
      <w:lang w:eastAsia="ru-RU"/>
    </w:rPr>
  </w:style>
  <w:style w:type="character" w:customStyle="1" w:styleId="st">
    <w:name w:val="st"/>
    <w:basedOn w:val="a0"/>
    <w:qFormat/>
    <w:rsid w:val="00B52DE3"/>
  </w:style>
  <w:style w:type="character" w:customStyle="1" w:styleId="afa">
    <w:name w:val="Нижний колонтитул Знак"/>
    <w:qFormat/>
    <w:rsid w:val="00B52DE3"/>
    <w:rPr>
      <w:rFonts w:eastAsia="Arial"/>
      <w:lang w:eastAsia="ru-RU"/>
    </w:rPr>
  </w:style>
  <w:style w:type="character" w:customStyle="1" w:styleId="1a">
    <w:name w:val="Нижний колонтитул Знак1"/>
    <w:basedOn w:val="a0"/>
    <w:qFormat/>
    <w:rsid w:val="00B52DE3"/>
  </w:style>
  <w:style w:type="character" w:customStyle="1" w:styleId="apple-converted-space">
    <w:name w:val="apple-converted-space"/>
    <w:basedOn w:val="a0"/>
    <w:qFormat/>
    <w:rsid w:val="00B52DE3"/>
  </w:style>
  <w:style w:type="character" w:customStyle="1" w:styleId="FontStyle13">
    <w:name w:val="Font Style13"/>
    <w:qFormat/>
    <w:rsid w:val="00B52DE3"/>
    <w:rPr>
      <w:rFonts w:ascii="Times New Roman" w:hAnsi="Times New Roman" w:cs="Times New Roman"/>
      <w:sz w:val="22"/>
      <w:szCs w:val="22"/>
    </w:rPr>
  </w:style>
  <w:style w:type="character" w:customStyle="1" w:styleId="FontStyle112">
    <w:name w:val="Font Style112"/>
    <w:qFormat/>
    <w:rsid w:val="00B52DE3"/>
    <w:rPr>
      <w:rFonts w:ascii="Times New Roman" w:hAnsi="Times New Roman" w:cs="Times New Roman"/>
      <w:sz w:val="24"/>
      <w:szCs w:val="24"/>
    </w:rPr>
  </w:style>
  <w:style w:type="character" w:customStyle="1" w:styleId="30">
    <w:name w:val="Основной текст с отступом 3 Знак"/>
    <w:qFormat/>
    <w:rsid w:val="00B52DE3"/>
    <w:rPr>
      <w:rFonts w:ascii="Times New Roman" w:eastAsia="Times New Roman" w:hAnsi="Times New Roman" w:cs="Times New Roman"/>
      <w:sz w:val="16"/>
      <w:szCs w:val="16"/>
      <w:lang w:eastAsia="ru-RU"/>
    </w:rPr>
  </w:style>
  <w:style w:type="character" w:styleId="afb">
    <w:name w:val="page number"/>
    <w:basedOn w:val="a0"/>
    <w:rsid w:val="00B52DE3"/>
  </w:style>
  <w:style w:type="character" w:customStyle="1" w:styleId="afc">
    <w:name w:val="Схема документа Знак"/>
    <w:qFormat/>
    <w:rsid w:val="00B52DE3"/>
    <w:rPr>
      <w:rFonts w:ascii="Tahoma" w:eastAsia="Times New Roman" w:hAnsi="Tahoma" w:cs="Tahoma"/>
      <w:sz w:val="20"/>
      <w:szCs w:val="20"/>
      <w:shd w:val="clear" w:color="auto" w:fill="000080"/>
      <w:lang w:eastAsia="ru-RU"/>
    </w:rPr>
  </w:style>
  <w:style w:type="character" w:customStyle="1" w:styleId="submenu-table">
    <w:name w:val="submenu-table"/>
    <w:qFormat/>
    <w:rsid w:val="00B52DE3"/>
  </w:style>
  <w:style w:type="character" w:customStyle="1" w:styleId="afd">
    <w:name w:val="Текст Знак"/>
    <w:qFormat/>
    <w:rsid w:val="00B52DE3"/>
    <w:rPr>
      <w:rFonts w:ascii="Courier New" w:eastAsia="Times New Roman" w:hAnsi="Courier New" w:cs="Times New Roman"/>
      <w:szCs w:val="20"/>
      <w:lang w:eastAsia="ru-RU"/>
    </w:rPr>
  </w:style>
  <w:style w:type="character" w:customStyle="1" w:styleId="1b">
    <w:name w:val="Основной текст1"/>
    <w:qFormat/>
    <w:rsid w:val="00B52DE3"/>
    <w:rPr>
      <w:rFonts w:ascii="Times New Roman" w:eastAsia="Times New Roman" w:hAnsi="Times New Roman" w:cs="Times New Roman"/>
      <w:b w:val="0"/>
      <w:bCs w:val="0"/>
      <w:i w:val="0"/>
      <w:iCs w:val="0"/>
      <w:caps w:val="0"/>
      <w:smallCaps w:val="0"/>
      <w:strike w:val="0"/>
      <w:spacing w:val="22"/>
      <w:sz w:val="22"/>
      <w:szCs w:val="22"/>
    </w:rPr>
  </w:style>
  <w:style w:type="character" w:customStyle="1" w:styleId="1pt">
    <w:name w:val="Основной текст + Интервал 1 pt"/>
    <w:qFormat/>
    <w:rsid w:val="00B52DE3"/>
    <w:rPr>
      <w:rFonts w:ascii="Times New Roman" w:eastAsia="Times New Roman" w:hAnsi="Times New Roman" w:cs="Times New Roman"/>
      <w:spacing w:val="30"/>
      <w:sz w:val="27"/>
      <w:szCs w:val="27"/>
      <w:shd w:val="clear" w:color="auto" w:fill="FFFFFF"/>
    </w:rPr>
  </w:style>
  <w:style w:type="character" w:customStyle="1" w:styleId="3pt">
    <w:name w:val="Основной текст + Интервал 3 pt"/>
    <w:qFormat/>
    <w:rsid w:val="00B52DE3"/>
    <w:rPr>
      <w:rFonts w:ascii="Times New Roman" w:hAnsi="Times New Roman" w:cs="Times New Roman"/>
      <w:spacing w:val="74"/>
      <w:sz w:val="21"/>
      <w:szCs w:val="21"/>
      <w:shd w:val="clear" w:color="auto" w:fill="FFFFFF"/>
      <w:lang w:bidi="ar-SA"/>
    </w:rPr>
  </w:style>
  <w:style w:type="character" w:customStyle="1" w:styleId="8pt0pt">
    <w:name w:val="Основной текст + 8 pt;Интервал 0 pt"/>
    <w:qFormat/>
    <w:rsid w:val="00B52DE3"/>
    <w:rPr>
      <w:rFonts w:ascii="Times New Roman" w:eastAsia="Times New Roman" w:hAnsi="Times New Roman" w:cs="Times New Roman"/>
      <w:b w:val="0"/>
      <w:bCs w:val="0"/>
      <w:i w:val="0"/>
      <w:iCs w:val="0"/>
      <w:caps w:val="0"/>
      <w:smallCaps w:val="0"/>
      <w:strike w:val="0"/>
      <w:color w:val="000000"/>
      <w:spacing w:val="-2"/>
      <w:sz w:val="16"/>
      <w:szCs w:val="16"/>
      <w:u w:val="none"/>
      <w:shd w:val="clear" w:color="auto" w:fill="FFFFFF"/>
      <w:lang w:val="ru-RU" w:eastAsia="ru-RU" w:bidi="ru-RU"/>
    </w:rPr>
  </w:style>
  <w:style w:type="character" w:customStyle="1" w:styleId="31">
    <w:name w:val="Основной текст (3)_"/>
    <w:qFormat/>
    <w:rsid w:val="00B52DE3"/>
    <w:rPr>
      <w:b/>
      <w:bCs/>
      <w:spacing w:val="-3"/>
      <w:shd w:val="clear" w:color="auto" w:fill="FFFFFF"/>
    </w:rPr>
  </w:style>
  <w:style w:type="character" w:customStyle="1" w:styleId="61pt">
    <w:name w:val="Колонтитул (6) + Не курсив;Интервал 1 pt"/>
    <w:qFormat/>
    <w:rsid w:val="00B52DE3"/>
    <w:rPr>
      <w:rFonts w:ascii="Times New Roman" w:eastAsia="Times New Roman" w:hAnsi="Times New Roman" w:cs="Times New Roman"/>
      <w:b w:val="0"/>
      <w:bCs w:val="0"/>
      <w:i/>
      <w:iCs/>
      <w:caps w:val="0"/>
      <w:smallCaps w:val="0"/>
      <w:strike w:val="0"/>
      <w:color w:val="000000"/>
      <w:spacing w:val="29"/>
      <w:sz w:val="22"/>
      <w:szCs w:val="22"/>
      <w:u w:val="none"/>
      <w:lang w:val="ru-RU" w:eastAsia="ru-RU" w:bidi="ru-RU"/>
    </w:rPr>
  </w:style>
  <w:style w:type="character" w:customStyle="1" w:styleId="29">
    <w:name w:val="Подпись к таблице (2)_"/>
    <w:qFormat/>
    <w:rsid w:val="00B52DE3"/>
    <w:rPr>
      <w:i/>
      <w:iCs/>
      <w:spacing w:val="-2"/>
      <w:shd w:val="clear" w:color="auto" w:fill="FFFFFF"/>
    </w:rPr>
  </w:style>
  <w:style w:type="character" w:customStyle="1" w:styleId="8pt0pt0">
    <w:name w:val="Основной текст + 8 pt;Полужирный;Интервал 0 pt"/>
    <w:qFormat/>
    <w:rsid w:val="00B52DE3"/>
    <w:rPr>
      <w:rFonts w:ascii="Times New Roman" w:eastAsia="Times New Roman" w:hAnsi="Times New Roman" w:cs="Times New Roman"/>
      <w:b/>
      <w:bCs/>
      <w:i w:val="0"/>
      <w:iCs w:val="0"/>
      <w:caps w:val="0"/>
      <w:smallCaps w:val="0"/>
      <w:strike w:val="0"/>
      <w:color w:val="000000"/>
      <w:spacing w:val="4"/>
      <w:sz w:val="16"/>
      <w:szCs w:val="16"/>
      <w:u w:val="none"/>
      <w:shd w:val="clear" w:color="auto" w:fill="FFFFFF"/>
      <w:lang w:val="ru-RU" w:eastAsia="ru-RU" w:bidi="ru-RU"/>
    </w:rPr>
  </w:style>
  <w:style w:type="character" w:customStyle="1" w:styleId="afe">
    <w:name w:val="Основной текст + Полужирный"/>
    <w:qFormat/>
    <w:rsid w:val="00B52DE3"/>
    <w:rPr>
      <w:rFonts w:ascii="Times New Roman" w:eastAsia="Times New Roman" w:hAnsi="Times New Roman" w:cs="Times New Roman"/>
      <w:b/>
      <w:bCs/>
      <w:i w:val="0"/>
      <w:iCs w:val="0"/>
      <w:caps w:val="0"/>
      <w:smallCaps w:val="0"/>
      <w:strike w:val="0"/>
      <w:color w:val="000000"/>
      <w:spacing w:val="-3"/>
      <w:sz w:val="22"/>
      <w:szCs w:val="22"/>
      <w:u w:val="none"/>
      <w:shd w:val="clear" w:color="auto" w:fill="FFFFFF"/>
      <w:lang w:val="ru-RU" w:eastAsia="ru-RU" w:bidi="ru-RU"/>
    </w:rPr>
  </w:style>
  <w:style w:type="character" w:customStyle="1" w:styleId="110">
    <w:name w:val="Основной текст (11)_"/>
    <w:qFormat/>
    <w:rsid w:val="00B52DE3"/>
    <w:rPr>
      <w:i/>
      <w:iCs/>
      <w:spacing w:val="-2"/>
      <w:shd w:val="clear" w:color="auto" w:fill="FFFFFF"/>
    </w:rPr>
  </w:style>
  <w:style w:type="character" w:customStyle="1" w:styleId="1c">
    <w:name w:val="Заголовок №1_"/>
    <w:qFormat/>
    <w:rsid w:val="00B52DE3"/>
    <w:rPr>
      <w:b/>
      <w:bCs/>
      <w:spacing w:val="-3"/>
      <w:shd w:val="clear" w:color="auto" w:fill="FFFFFF"/>
    </w:rPr>
  </w:style>
  <w:style w:type="character" w:customStyle="1" w:styleId="50">
    <w:name w:val="Основной текст (5)_"/>
    <w:qFormat/>
    <w:rsid w:val="00B52DE3"/>
    <w:rPr>
      <w:b/>
      <w:bCs/>
      <w:i/>
      <w:iCs/>
      <w:spacing w:val="-3"/>
      <w:shd w:val="clear" w:color="auto" w:fill="FFFFFF"/>
    </w:rPr>
  </w:style>
  <w:style w:type="character" w:customStyle="1" w:styleId="aff">
    <w:name w:val="Подпись к таблице_"/>
    <w:qFormat/>
    <w:rsid w:val="00B52DE3"/>
    <w:rPr>
      <w:b/>
      <w:bCs/>
      <w:spacing w:val="-3"/>
      <w:shd w:val="clear" w:color="auto" w:fill="FFFFFF"/>
    </w:rPr>
  </w:style>
  <w:style w:type="character" w:customStyle="1" w:styleId="9pt0pt">
    <w:name w:val="Основной текст + 9 pt;Интервал 0 pt"/>
    <w:qFormat/>
    <w:rsid w:val="00B52DE3"/>
    <w:rPr>
      <w:rFonts w:ascii="Times New Roman" w:eastAsia="Times New Roman" w:hAnsi="Times New Roman" w:cs="Times New Roman"/>
      <w:b w:val="0"/>
      <w:bCs w:val="0"/>
      <w:i w:val="0"/>
      <w:iCs w:val="0"/>
      <w:caps w:val="0"/>
      <w:smallCaps w:val="0"/>
      <w:strike w:val="0"/>
      <w:color w:val="000000"/>
      <w:spacing w:val="8"/>
      <w:sz w:val="18"/>
      <w:szCs w:val="18"/>
      <w:u w:val="none"/>
      <w:shd w:val="clear" w:color="auto" w:fill="FFFFFF"/>
      <w:lang w:val="ru-RU" w:eastAsia="ru-RU" w:bidi="ru-RU"/>
    </w:rPr>
  </w:style>
  <w:style w:type="character" w:customStyle="1" w:styleId="40">
    <w:name w:val="Подпись к таблице (4)_"/>
    <w:qFormat/>
    <w:rsid w:val="00B52DE3"/>
    <w:rPr>
      <w:i/>
      <w:iCs/>
      <w:spacing w:val="46"/>
      <w:sz w:val="16"/>
      <w:szCs w:val="16"/>
      <w:shd w:val="clear" w:color="auto" w:fill="FFFFFF"/>
    </w:rPr>
  </w:style>
  <w:style w:type="character" w:customStyle="1" w:styleId="51">
    <w:name w:val="Подпись к таблице (5)_"/>
    <w:qFormat/>
    <w:rsid w:val="00B52DE3"/>
    <w:rPr>
      <w:spacing w:val="-2"/>
      <w:sz w:val="16"/>
      <w:szCs w:val="16"/>
      <w:shd w:val="clear" w:color="auto" w:fill="FFFFFF"/>
    </w:rPr>
  </w:style>
  <w:style w:type="character" w:customStyle="1" w:styleId="52pt">
    <w:name w:val="Подпись к таблице (5) + Курсив;Интервал 2 pt"/>
    <w:qFormat/>
    <w:rsid w:val="00B52DE3"/>
    <w:rPr>
      <w:rFonts w:ascii="Times New Roman" w:eastAsia="Times New Roman" w:hAnsi="Times New Roman" w:cs="Times New Roman"/>
      <w:b w:val="0"/>
      <w:bCs w:val="0"/>
      <w:i/>
      <w:iCs/>
      <w:caps w:val="0"/>
      <w:smallCaps w:val="0"/>
      <w:strike w:val="0"/>
      <w:color w:val="000000"/>
      <w:spacing w:val="46"/>
      <w:sz w:val="16"/>
      <w:szCs w:val="16"/>
      <w:u w:val="none"/>
      <w:lang w:val="ru-RU" w:eastAsia="ru-RU" w:bidi="ru-RU"/>
    </w:rPr>
  </w:style>
  <w:style w:type="character" w:customStyle="1" w:styleId="65pt0pt">
    <w:name w:val="Основной текст + 6;5 pt;Интервал 0 pt"/>
    <w:qFormat/>
    <w:rsid w:val="00B52DE3"/>
    <w:rPr>
      <w:rFonts w:ascii="Times New Roman" w:eastAsia="Times New Roman" w:hAnsi="Times New Roman" w:cs="Times New Roman"/>
      <w:b w:val="0"/>
      <w:bCs w:val="0"/>
      <w:i w:val="0"/>
      <w:iCs w:val="0"/>
      <w:caps w:val="0"/>
      <w:smallCaps w:val="0"/>
      <w:strike w:val="0"/>
      <w:color w:val="000000"/>
      <w:spacing w:val="0"/>
      <w:sz w:val="13"/>
      <w:szCs w:val="13"/>
      <w:u w:val="none"/>
      <w:shd w:val="clear" w:color="auto" w:fill="FFFFFF"/>
      <w:lang w:val="ru-RU" w:eastAsia="ru-RU" w:bidi="ru-RU"/>
    </w:rPr>
  </w:style>
  <w:style w:type="character" w:customStyle="1" w:styleId="60">
    <w:name w:val="Колонтитул (6)_"/>
    <w:qFormat/>
    <w:rsid w:val="00B52DE3"/>
    <w:rPr>
      <w:i/>
      <w:iCs/>
      <w:spacing w:val="-3"/>
      <w:shd w:val="clear" w:color="auto" w:fill="FFFFFF"/>
    </w:rPr>
  </w:style>
  <w:style w:type="character" w:customStyle="1" w:styleId="58pt">
    <w:name w:val="Основной текст (5) + 8 pt"/>
    <w:qFormat/>
    <w:rsid w:val="00B52DE3"/>
    <w:rPr>
      <w:b w:val="0"/>
      <w:bCs w:val="0"/>
      <w:i/>
      <w:iCs/>
      <w:color w:val="000000"/>
      <w:spacing w:val="3"/>
      <w:sz w:val="16"/>
      <w:szCs w:val="16"/>
      <w:shd w:val="clear" w:color="auto" w:fill="FFFFFF"/>
      <w:lang w:val="ru-RU" w:eastAsia="ru-RU" w:bidi="ru-RU"/>
    </w:rPr>
  </w:style>
  <w:style w:type="character" w:customStyle="1" w:styleId="32">
    <w:name w:val="Основной текст 3 Знак"/>
    <w:qFormat/>
    <w:rsid w:val="00B52DE3"/>
    <w:rPr>
      <w:rFonts w:eastAsia="Arial"/>
      <w:sz w:val="16"/>
      <w:szCs w:val="16"/>
      <w:lang w:eastAsia="ru-RU"/>
    </w:rPr>
  </w:style>
  <w:style w:type="character" w:customStyle="1" w:styleId="aff0">
    <w:name w:val="Текст примечания Знак"/>
    <w:qFormat/>
    <w:rsid w:val="00B52DE3"/>
    <w:rPr>
      <w:rFonts w:eastAsia="Arial"/>
      <w:sz w:val="20"/>
      <w:szCs w:val="20"/>
      <w:lang w:eastAsia="ru-RU"/>
    </w:rPr>
  </w:style>
  <w:style w:type="character" w:customStyle="1" w:styleId="9pt0pt0">
    <w:name w:val="Основной текст + 9 pt;Полужирный;Интервал 0 pt"/>
    <w:qFormat/>
    <w:rsid w:val="00B52DE3"/>
    <w:rPr>
      <w:rFonts w:ascii="Times New Roman" w:eastAsia="Times New Roman" w:hAnsi="Times New Roman" w:cs="Times New Roman"/>
      <w:b/>
      <w:bCs/>
      <w:i w:val="0"/>
      <w:iCs w:val="0"/>
      <w:caps w:val="0"/>
      <w:smallCaps w:val="0"/>
      <w:strike w:val="0"/>
      <w:color w:val="000000"/>
      <w:spacing w:val="5"/>
      <w:sz w:val="18"/>
      <w:szCs w:val="18"/>
      <w:u w:val="none"/>
      <w:shd w:val="clear" w:color="auto" w:fill="FFFFFF"/>
      <w:lang w:val="ru-RU" w:eastAsia="ru-RU" w:bidi="ru-RU"/>
    </w:rPr>
  </w:style>
  <w:style w:type="character" w:customStyle="1" w:styleId="41">
    <w:name w:val="Колонтитул (4)_"/>
    <w:qFormat/>
    <w:rsid w:val="00B52DE3"/>
    <w:rPr>
      <w:i/>
      <w:iCs/>
      <w:spacing w:val="1"/>
      <w:sz w:val="21"/>
      <w:szCs w:val="21"/>
      <w:shd w:val="clear" w:color="auto" w:fill="FFFFFF"/>
    </w:rPr>
  </w:style>
  <w:style w:type="character" w:customStyle="1" w:styleId="49pt0pt">
    <w:name w:val="Колонтитул (4) + 9 pt;Не курсив;Интервал 0 pt"/>
    <w:qFormat/>
    <w:rsid w:val="00B52DE3"/>
    <w:rPr>
      <w:rFonts w:ascii="Times New Roman" w:eastAsia="Times New Roman" w:hAnsi="Times New Roman" w:cs="Times New Roman"/>
      <w:b w:val="0"/>
      <w:bCs w:val="0"/>
      <w:i/>
      <w:iCs/>
      <w:caps w:val="0"/>
      <w:smallCaps w:val="0"/>
      <w:strike w:val="0"/>
      <w:color w:val="000000"/>
      <w:spacing w:val="3"/>
      <w:sz w:val="18"/>
      <w:szCs w:val="18"/>
      <w:u w:val="none"/>
      <w:lang w:val="ru-RU" w:eastAsia="ru-RU" w:bidi="ru-RU"/>
    </w:rPr>
  </w:style>
  <w:style w:type="character" w:customStyle="1" w:styleId="aff1">
    <w:name w:val="Обычный (веб) Знак"/>
    <w:qFormat/>
    <w:rsid w:val="00B52DE3"/>
    <w:rPr>
      <w:rFonts w:ascii="Times New Roman" w:eastAsia="Times New Roman" w:hAnsi="Times New Roman" w:cs="Times New Roman"/>
      <w:sz w:val="24"/>
      <w:szCs w:val="24"/>
      <w:lang w:eastAsia="ru-RU"/>
    </w:rPr>
  </w:style>
  <w:style w:type="character" w:styleId="aff2">
    <w:name w:val="annotation reference"/>
    <w:qFormat/>
    <w:rsid w:val="00B52DE3"/>
    <w:rPr>
      <w:sz w:val="16"/>
      <w:szCs w:val="16"/>
    </w:rPr>
  </w:style>
  <w:style w:type="character" w:customStyle="1" w:styleId="aff3">
    <w:name w:val="Тема примечания Знак"/>
    <w:qFormat/>
    <w:rsid w:val="00B52DE3"/>
    <w:rPr>
      <w:rFonts w:eastAsia="Arial"/>
      <w:b/>
      <w:bCs/>
      <w:sz w:val="20"/>
      <w:szCs w:val="20"/>
      <w:lang w:eastAsia="ru-RU"/>
    </w:rPr>
  </w:style>
  <w:style w:type="character" w:customStyle="1" w:styleId="fontstyle01">
    <w:name w:val="fontstyle01"/>
    <w:qFormat/>
    <w:rsid w:val="00B52DE3"/>
    <w:rPr>
      <w:rFonts w:ascii="TimesNewRomanPSMT" w:hAnsi="TimesNewRomanPSMT"/>
      <w:b w:val="0"/>
      <w:bCs w:val="0"/>
      <w:i w:val="0"/>
      <w:iCs w:val="0"/>
      <w:color w:val="000000"/>
      <w:sz w:val="28"/>
      <w:szCs w:val="28"/>
    </w:rPr>
  </w:style>
  <w:style w:type="character" w:customStyle="1" w:styleId="extended-textshort">
    <w:name w:val="extended-text__short"/>
    <w:basedOn w:val="a0"/>
    <w:qFormat/>
    <w:rsid w:val="00B52DE3"/>
  </w:style>
  <w:style w:type="character" w:customStyle="1" w:styleId="sectioninfo2">
    <w:name w:val="section__info2"/>
    <w:qFormat/>
    <w:rsid w:val="00B52DE3"/>
    <w:rPr>
      <w:vanish w:val="0"/>
      <w:sz w:val="24"/>
      <w:szCs w:val="24"/>
    </w:rPr>
  </w:style>
  <w:style w:type="character" w:customStyle="1" w:styleId="hgkelc">
    <w:name w:val="hgkelc"/>
    <w:qFormat/>
    <w:rsid w:val="00B52DE3"/>
  </w:style>
  <w:style w:type="character" w:customStyle="1" w:styleId="docdata">
    <w:name w:val="docdata"/>
    <w:basedOn w:val="a0"/>
    <w:qFormat/>
    <w:rsid w:val="00B52DE3"/>
  </w:style>
  <w:style w:type="character" w:customStyle="1" w:styleId="1d">
    <w:name w:val="Основной текст Знак1"/>
    <w:qFormat/>
    <w:rsid w:val="00B52DE3"/>
    <w:rPr>
      <w:rFonts w:ascii="Times New Roman" w:hAnsi="Times New Roman" w:cs="Times New Roman"/>
      <w:sz w:val="27"/>
      <w:szCs w:val="27"/>
      <w:u w:val="none"/>
    </w:rPr>
  </w:style>
  <w:style w:type="character" w:customStyle="1" w:styleId="itemtext1">
    <w:name w:val="itemtext1"/>
    <w:qFormat/>
    <w:rsid w:val="00B52DE3"/>
    <w:rPr>
      <w:rFonts w:ascii="Segoe UI" w:hAnsi="Segoe UI" w:cs="Segoe UI"/>
      <w:color w:val="000000"/>
      <w:sz w:val="20"/>
      <w:szCs w:val="20"/>
    </w:rPr>
  </w:style>
  <w:style w:type="character" w:customStyle="1" w:styleId="1e">
    <w:name w:val="Строгий1"/>
    <w:qFormat/>
    <w:rsid w:val="00B52DE3"/>
    <w:rPr>
      <w:b/>
      <w:bCs/>
    </w:rPr>
  </w:style>
  <w:style w:type="character" w:customStyle="1" w:styleId="1f">
    <w:name w:val="Текст выноски Знак1"/>
    <w:qFormat/>
    <w:rsid w:val="00B52DE3"/>
    <w:rPr>
      <w:rFonts w:ascii="Tahoma" w:eastAsia="Calibri" w:hAnsi="Tahoma" w:cs="Tahoma"/>
      <w:sz w:val="16"/>
      <w:szCs w:val="16"/>
      <w:lang w:eastAsia="en-US"/>
    </w:rPr>
  </w:style>
  <w:style w:type="character" w:customStyle="1" w:styleId="1f0">
    <w:name w:val="Просмотренная гиперссылка1"/>
    <w:qFormat/>
    <w:rsid w:val="00B52DE3"/>
    <w:rPr>
      <w:color w:val="800080"/>
      <w:u w:val="single"/>
    </w:rPr>
  </w:style>
  <w:style w:type="character" w:customStyle="1" w:styleId="111">
    <w:name w:val="Заголовок 1 Знак1"/>
    <w:qFormat/>
    <w:rsid w:val="00B52DE3"/>
    <w:rPr>
      <w:rFonts w:ascii="Cambria" w:eastAsia="Arial" w:hAnsi="Cambria" w:cs="Arial"/>
      <w:b/>
      <w:bCs/>
      <w:color w:val="365F91"/>
      <w:sz w:val="28"/>
      <w:szCs w:val="28"/>
      <w:lang w:eastAsia="en-US"/>
    </w:rPr>
  </w:style>
  <w:style w:type="character" w:customStyle="1" w:styleId="1f1">
    <w:name w:val="1 Заголовок Знак"/>
    <w:qFormat/>
    <w:rsid w:val="00B52DE3"/>
    <w:rPr>
      <w:rFonts w:eastAsia="Arial"/>
      <w:b/>
      <w:bCs/>
      <w:color w:val="000000"/>
      <w:sz w:val="28"/>
      <w:szCs w:val="28"/>
      <w:lang w:eastAsia="en-US"/>
    </w:rPr>
  </w:style>
  <w:style w:type="character" w:customStyle="1" w:styleId="2a">
    <w:name w:val="2Свой заголовок Знак"/>
    <w:qFormat/>
    <w:rsid w:val="00B52DE3"/>
    <w:rPr>
      <w:rFonts w:ascii="Cambria" w:eastAsia="Arial" w:hAnsi="Cambria" w:cs="Arial"/>
      <w:b/>
      <w:bCs/>
      <w:iCs/>
      <w:color w:val="000000"/>
      <w:sz w:val="28"/>
      <w:szCs w:val="28"/>
      <w:lang w:eastAsia="en-US"/>
    </w:rPr>
  </w:style>
  <w:style w:type="character" w:styleId="aff4">
    <w:name w:val="FollowedHyperlink"/>
    <w:rsid w:val="00B52DE3"/>
    <w:rPr>
      <w:color w:val="800000"/>
      <w:u w:val="single"/>
      <w:lang w:val="en-US" w:eastAsia="en-US" w:bidi="en-US"/>
    </w:rPr>
  </w:style>
  <w:style w:type="character" w:customStyle="1" w:styleId="aff5">
    <w:name w:val="Ссылка указателя"/>
    <w:qFormat/>
    <w:rsid w:val="00B52DE3"/>
  </w:style>
  <w:style w:type="character" w:customStyle="1" w:styleId="FontStyle14">
    <w:name w:val="Font Style14"/>
    <w:qFormat/>
    <w:rsid w:val="00B52DE3"/>
    <w:rPr>
      <w:rFonts w:ascii="Times New Roman" w:hAnsi="Times New Roman"/>
      <w:sz w:val="26"/>
    </w:rPr>
  </w:style>
  <w:style w:type="character" w:customStyle="1" w:styleId="2b">
    <w:name w:val="Строгий2"/>
    <w:qFormat/>
    <w:rsid w:val="00B52DE3"/>
    <w:rPr>
      <w:rFonts w:cs="Times New Roman"/>
      <w:b/>
      <w:bCs/>
    </w:rPr>
  </w:style>
  <w:style w:type="character" w:customStyle="1" w:styleId="FontStyle11">
    <w:name w:val="Font Style11"/>
    <w:qFormat/>
    <w:rsid w:val="00B52DE3"/>
    <w:rPr>
      <w:rFonts w:ascii="Times New Roman" w:hAnsi="Times New Roman" w:cs="Times New Roman"/>
      <w:sz w:val="26"/>
      <w:szCs w:val="26"/>
    </w:rPr>
  </w:style>
  <w:style w:type="character" w:customStyle="1" w:styleId="organictextcontentspan">
    <w:name w:val="organictextcontentspan"/>
    <w:qFormat/>
    <w:rsid w:val="00B52DE3"/>
  </w:style>
  <w:style w:type="character" w:styleId="aff6">
    <w:name w:val="Strong"/>
    <w:qFormat/>
    <w:rsid w:val="00B52DE3"/>
    <w:rPr>
      <w:b/>
      <w:bCs/>
    </w:rPr>
  </w:style>
  <w:style w:type="paragraph" w:customStyle="1" w:styleId="aff7">
    <w:name w:val="Заголовок"/>
    <w:basedOn w:val="a"/>
    <w:next w:val="aff8"/>
    <w:qFormat/>
    <w:rsid w:val="00B52DE3"/>
    <w:pPr>
      <w:keepNext/>
      <w:spacing w:before="240" w:after="120"/>
    </w:pPr>
    <w:rPr>
      <w:rFonts w:ascii="Liberation Sans" w:eastAsia="Tahoma" w:hAnsi="Liberation Sans" w:cs="Noto Sans"/>
      <w:sz w:val="28"/>
      <w:szCs w:val="28"/>
    </w:rPr>
  </w:style>
  <w:style w:type="paragraph" w:styleId="aff8">
    <w:name w:val="Body Text"/>
    <w:basedOn w:val="a"/>
    <w:rsid w:val="00B52DE3"/>
    <w:pPr>
      <w:spacing w:after="120" w:line="240" w:lineRule="auto"/>
    </w:pPr>
    <w:rPr>
      <w:rFonts w:ascii="Times New Roman" w:eastAsia="Times New Roman" w:hAnsi="Times New Roman" w:cs="Times New Roman"/>
      <w:sz w:val="20"/>
      <w:szCs w:val="20"/>
      <w:lang w:eastAsia="ru-RU"/>
    </w:rPr>
  </w:style>
  <w:style w:type="paragraph" w:styleId="aff9">
    <w:name w:val="List"/>
    <w:basedOn w:val="aff8"/>
    <w:rsid w:val="00B52DE3"/>
    <w:rPr>
      <w:rFonts w:cs="Droid Sans Devanagari"/>
    </w:rPr>
  </w:style>
  <w:style w:type="paragraph" w:customStyle="1" w:styleId="Caption">
    <w:name w:val="Caption"/>
    <w:basedOn w:val="a"/>
    <w:next w:val="a"/>
    <w:qFormat/>
    <w:rsid w:val="00B52DE3"/>
    <w:pPr>
      <w:spacing w:before="300"/>
      <w:contextualSpacing/>
    </w:pPr>
    <w:rPr>
      <w:sz w:val="48"/>
      <w:szCs w:val="48"/>
    </w:rPr>
  </w:style>
  <w:style w:type="paragraph" w:styleId="affa">
    <w:name w:val="index heading"/>
    <w:basedOn w:val="user"/>
    <w:rsid w:val="00B52DE3"/>
  </w:style>
  <w:style w:type="paragraph" w:customStyle="1" w:styleId="user">
    <w:name w:val="Заголовок (user)"/>
    <w:next w:val="aff8"/>
    <w:qFormat/>
    <w:rsid w:val="00B52DE3"/>
    <w:pPr>
      <w:widowControl w:val="0"/>
    </w:pPr>
    <w:rPr>
      <w:rFonts w:ascii="Arial" w:hAnsi="Arial" w:cs="Arial"/>
      <w:b/>
      <w:bCs/>
      <w:sz w:val="22"/>
      <w:szCs w:val="22"/>
    </w:rPr>
  </w:style>
  <w:style w:type="paragraph" w:customStyle="1" w:styleId="user0">
    <w:name w:val="Указатель (user)"/>
    <w:basedOn w:val="a"/>
    <w:qFormat/>
    <w:rsid w:val="00B52DE3"/>
    <w:pPr>
      <w:suppressLineNumbers/>
    </w:pPr>
    <w:rPr>
      <w:rFonts w:cs="Noto Sans"/>
    </w:rPr>
  </w:style>
  <w:style w:type="paragraph" w:styleId="a8">
    <w:name w:val="Title"/>
    <w:basedOn w:val="a"/>
    <w:next w:val="aff8"/>
    <w:link w:val="10"/>
    <w:qFormat/>
    <w:rsid w:val="00B52DE3"/>
    <w:pPr>
      <w:spacing w:before="300"/>
      <w:contextualSpacing/>
    </w:pPr>
    <w:rPr>
      <w:sz w:val="48"/>
      <w:szCs w:val="48"/>
    </w:rPr>
  </w:style>
  <w:style w:type="paragraph" w:styleId="ac">
    <w:name w:val="Subtitle"/>
    <w:basedOn w:val="a"/>
    <w:link w:val="14"/>
    <w:qFormat/>
    <w:rsid w:val="00B52DE3"/>
    <w:pPr>
      <w:spacing w:after="60" w:line="240" w:lineRule="auto"/>
      <w:jc w:val="center"/>
      <w:outlineLvl w:val="1"/>
    </w:pPr>
    <w:rPr>
      <w:rFonts w:ascii="Arial" w:eastAsia="Times New Roman" w:hAnsi="Arial"/>
      <w:sz w:val="24"/>
      <w:szCs w:val="24"/>
      <w:lang w:eastAsia="ru-RU"/>
    </w:rPr>
  </w:style>
  <w:style w:type="paragraph" w:customStyle="1" w:styleId="HeaderandFooter">
    <w:name w:val="Header and Footer"/>
    <w:basedOn w:val="a"/>
    <w:qFormat/>
    <w:rsid w:val="00B52DE3"/>
  </w:style>
  <w:style w:type="paragraph" w:customStyle="1" w:styleId="Header">
    <w:name w:val="Header"/>
    <w:basedOn w:val="a"/>
    <w:link w:val="15"/>
    <w:rsid w:val="00B52DE3"/>
    <w:pPr>
      <w:tabs>
        <w:tab w:val="center" w:pos="4677"/>
        <w:tab w:val="right" w:pos="9355"/>
      </w:tabs>
      <w:spacing w:after="5" w:line="362" w:lineRule="auto"/>
      <w:ind w:left="331" w:right="298" w:firstLine="710"/>
      <w:jc w:val="both"/>
    </w:pPr>
    <w:rPr>
      <w:rFonts w:ascii="Times New Roman" w:eastAsia="Times New Roman" w:hAnsi="Times New Roman" w:cs="Times New Roman"/>
      <w:color w:val="000000"/>
      <w:sz w:val="28"/>
      <w:lang w:val="en-US"/>
    </w:rPr>
  </w:style>
  <w:style w:type="paragraph" w:customStyle="1" w:styleId="Footer">
    <w:name w:val="Footer"/>
    <w:basedOn w:val="a"/>
    <w:link w:val="20"/>
    <w:rsid w:val="00B52DE3"/>
    <w:pPr>
      <w:tabs>
        <w:tab w:val="center" w:pos="4677"/>
        <w:tab w:val="right" w:pos="9355"/>
      </w:tabs>
      <w:spacing w:after="0" w:line="240" w:lineRule="auto"/>
    </w:pPr>
    <w:rPr>
      <w:rFonts w:eastAsia="Arial"/>
      <w:lang w:eastAsia="ru-RU"/>
    </w:rPr>
  </w:style>
  <w:style w:type="paragraph" w:styleId="a9">
    <w:name w:val="footnote text"/>
    <w:basedOn w:val="a"/>
    <w:link w:val="11"/>
    <w:rsid w:val="00B52DE3"/>
    <w:pPr>
      <w:spacing w:after="40" w:line="240" w:lineRule="auto"/>
    </w:pPr>
    <w:rPr>
      <w:sz w:val="18"/>
    </w:rPr>
  </w:style>
  <w:style w:type="paragraph" w:styleId="aa">
    <w:name w:val="endnote text"/>
    <w:basedOn w:val="a"/>
    <w:link w:val="13"/>
    <w:rsid w:val="00B52DE3"/>
    <w:pPr>
      <w:spacing w:after="0" w:line="240" w:lineRule="auto"/>
    </w:pPr>
    <w:rPr>
      <w:sz w:val="20"/>
    </w:rPr>
  </w:style>
  <w:style w:type="paragraph" w:styleId="1f2">
    <w:name w:val="toc 1"/>
    <w:basedOn w:val="a"/>
    <w:next w:val="a"/>
    <w:uiPriority w:val="39"/>
    <w:rsid w:val="00B52DE3"/>
    <w:pPr>
      <w:spacing w:after="57"/>
    </w:pPr>
  </w:style>
  <w:style w:type="paragraph" w:styleId="2c">
    <w:name w:val="toc 2"/>
    <w:basedOn w:val="a"/>
    <w:next w:val="a"/>
    <w:uiPriority w:val="39"/>
    <w:rsid w:val="00B52DE3"/>
    <w:pPr>
      <w:spacing w:after="57"/>
      <w:ind w:left="283"/>
    </w:pPr>
  </w:style>
  <w:style w:type="paragraph" w:styleId="33">
    <w:name w:val="toc 3"/>
    <w:basedOn w:val="a"/>
    <w:next w:val="a"/>
    <w:uiPriority w:val="39"/>
    <w:rsid w:val="00B52DE3"/>
    <w:pPr>
      <w:spacing w:after="57"/>
      <w:ind w:left="567"/>
    </w:pPr>
  </w:style>
  <w:style w:type="paragraph" w:styleId="42">
    <w:name w:val="toc 4"/>
    <w:basedOn w:val="a"/>
    <w:next w:val="a"/>
    <w:uiPriority w:val="39"/>
    <w:rsid w:val="00B52DE3"/>
    <w:pPr>
      <w:spacing w:after="57"/>
      <w:ind w:left="850"/>
    </w:pPr>
  </w:style>
  <w:style w:type="paragraph" w:styleId="52">
    <w:name w:val="toc 5"/>
    <w:basedOn w:val="a"/>
    <w:next w:val="a"/>
    <w:uiPriority w:val="39"/>
    <w:rsid w:val="00B52DE3"/>
    <w:pPr>
      <w:spacing w:after="57"/>
      <w:ind w:left="1134"/>
    </w:pPr>
  </w:style>
  <w:style w:type="paragraph" w:styleId="62">
    <w:name w:val="toc 6"/>
    <w:basedOn w:val="a"/>
    <w:next w:val="a"/>
    <w:uiPriority w:val="39"/>
    <w:rsid w:val="00B52DE3"/>
    <w:pPr>
      <w:spacing w:after="57"/>
      <w:ind w:left="1417"/>
    </w:pPr>
  </w:style>
  <w:style w:type="paragraph" w:styleId="70">
    <w:name w:val="toc 7"/>
    <w:basedOn w:val="a"/>
    <w:next w:val="a"/>
    <w:uiPriority w:val="39"/>
    <w:rsid w:val="00B52DE3"/>
    <w:pPr>
      <w:spacing w:after="57"/>
      <w:ind w:left="1701"/>
    </w:pPr>
  </w:style>
  <w:style w:type="paragraph" w:styleId="80">
    <w:name w:val="toc 8"/>
    <w:basedOn w:val="a"/>
    <w:next w:val="a"/>
    <w:uiPriority w:val="39"/>
    <w:rsid w:val="00B52DE3"/>
    <w:pPr>
      <w:spacing w:after="57"/>
      <w:ind w:left="1984"/>
    </w:pPr>
  </w:style>
  <w:style w:type="paragraph" w:styleId="90">
    <w:name w:val="toc 9"/>
    <w:basedOn w:val="a"/>
    <w:next w:val="a"/>
    <w:uiPriority w:val="39"/>
    <w:rsid w:val="00B52DE3"/>
    <w:pPr>
      <w:spacing w:after="57"/>
      <w:ind w:left="2268"/>
    </w:pPr>
  </w:style>
  <w:style w:type="paragraph" w:styleId="affb">
    <w:name w:val="TOC Heading"/>
    <w:qFormat/>
    <w:rsid w:val="00B52DE3"/>
    <w:rPr>
      <w:lang w:eastAsia="zh-CN"/>
    </w:rPr>
  </w:style>
  <w:style w:type="paragraph" w:styleId="affc">
    <w:name w:val="table of figures"/>
    <w:basedOn w:val="a"/>
    <w:next w:val="a"/>
    <w:rsid w:val="00B52DE3"/>
    <w:pPr>
      <w:spacing w:after="0"/>
    </w:pPr>
  </w:style>
  <w:style w:type="paragraph" w:customStyle="1" w:styleId="2d">
    <w:name w:val="Указатель2"/>
    <w:basedOn w:val="user"/>
    <w:qFormat/>
    <w:rsid w:val="00B52DE3"/>
  </w:style>
  <w:style w:type="paragraph" w:customStyle="1" w:styleId="affd">
    <w:name w:val="Колонтитул"/>
    <w:basedOn w:val="a"/>
    <w:qFormat/>
    <w:rsid w:val="00B52DE3"/>
  </w:style>
  <w:style w:type="paragraph" w:styleId="affe">
    <w:name w:val="toa heading"/>
    <w:basedOn w:val="Heading1"/>
    <w:next w:val="a"/>
    <w:qFormat/>
    <w:rsid w:val="00B52DE3"/>
    <w:pPr>
      <w:outlineLvl w:val="9"/>
    </w:pPr>
    <w:rPr>
      <w:rFonts w:eastAsia="Times New Roman" w:cs="Times New Roman"/>
      <w:lang w:eastAsia="ru-RU"/>
    </w:rPr>
  </w:style>
  <w:style w:type="paragraph" w:customStyle="1" w:styleId="1f3">
    <w:name w:val="Название объекта1"/>
    <w:basedOn w:val="a"/>
    <w:next w:val="a"/>
    <w:qFormat/>
    <w:rsid w:val="00B52DE3"/>
    <w:pPr>
      <w:spacing w:after="0" w:line="240" w:lineRule="auto"/>
      <w:jc w:val="both"/>
    </w:pPr>
    <w:rPr>
      <w:rFonts w:ascii="Times New Roman" w:eastAsia="Times New Roman" w:hAnsi="Times New Roman" w:cs="Times New Roman"/>
      <w:sz w:val="24"/>
      <w:szCs w:val="20"/>
      <w:lang w:eastAsia="ru-RU"/>
    </w:rPr>
  </w:style>
  <w:style w:type="paragraph" w:customStyle="1" w:styleId="1f4">
    <w:name w:val="Указатель1"/>
    <w:basedOn w:val="a"/>
    <w:qFormat/>
    <w:rsid w:val="00B52DE3"/>
    <w:pPr>
      <w:suppressLineNumbers/>
    </w:pPr>
    <w:rPr>
      <w:rFonts w:cs="Droid Sans Devanagari"/>
    </w:rPr>
  </w:style>
  <w:style w:type="paragraph" w:styleId="2e">
    <w:name w:val="Quote"/>
    <w:basedOn w:val="a"/>
    <w:next w:val="a"/>
    <w:qFormat/>
    <w:rsid w:val="00B52DE3"/>
    <w:pPr>
      <w:ind w:left="720" w:right="720"/>
    </w:pPr>
    <w:rPr>
      <w:i/>
    </w:rPr>
  </w:style>
  <w:style w:type="paragraph" w:styleId="afff">
    <w:name w:val="Intense Quote"/>
    <w:basedOn w:val="a"/>
    <w:next w:val="a"/>
    <w:qFormat/>
    <w:rsid w:val="00B52DE3"/>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1f5">
    <w:name w:val="Текст сноски1"/>
    <w:basedOn w:val="a"/>
    <w:qFormat/>
    <w:rsid w:val="00B52DE3"/>
    <w:pPr>
      <w:spacing w:after="40" w:line="240" w:lineRule="auto"/>
    </w:pPr>
    <w:rPr>
      <w:sz w:val="18"/>
    </w:rPr>
  </w:style>
  <w:style w:type="paragraph" w:customStyle="1" w:styleId="1f6">
    <w:name w:val="Текст концевой сноски1"/>
    <w:basedOn w:val="a"/>
    <w:qFormat/>
    <w:rsid w:val="00B52DE3"/>
    <w:pPr>
      <w:spacing w:after="0" w:line="240" w:lineRule="auto"/>
    </w:pPr>
    <w:rPr>
      <w:sz w:val="20"/>
    </w:rPr>
  </w:style>
  <w:style w:type="paragraph" w:customStyle="1" w:styleId="1f7">
    <w:name w:val="Заголовок таблицы ссылок1"/>
    <w:qFormat/>
    <w:rsid w:val="00B52DE3"/>
    <w:pPr>
      <w:spacing w:after="200" w:line="276" w:lineRule="auto"/>
    </w:pPr>
    <w:rPr>
      <w:rFonts w:ascii="Calibri" w:eastAsia="Calibri" w:hAnsi="Calibri" w:cs="Arial"/>
      <w:sz w:val="22"/>
      <w:szCs w:val="22"/>
      <w:lang w:eastAsia="en-US"/>
    </w:rPr>
  </w:style>
  <w:style w:type="paragraph" w:customStyle="1" w:styleId="ConsPlusNormal0">
    <w:name w:val="ConsPlusNormal"/>
    <w:qFormat/>
    <w:rsid w:val="00B52DE3"/>
    <w:pPr>
      <w:widowControl w:val="0"/>
      <w:ind w:firstLine="720"/>
    </w:pPr>
    <w:rPr>
      <w:rFonts w:ascii="Arial" w:hAnsi="Arial" w:cs="Arial"/>
      <w:lang w:eastAsia="ar-SA"/>
    </w:rPr>
  </w:style>
  <w:style w:type="paragraph" w:styleId="afff0">
    <w:name w:val="Normal (Web)"/>
    <w:basedOn w:val="a"/>
    <w:qFormat/>
    <w:rsid w:val="00B52DE3"/>
    <w:pPr>
      <w:spacing w:before="280" w:after="280" w:line="240" w:lineRule="auto"/>
    </w:pPr>
    <w:rPr>
      <w:rFonts w:ascii="Times New Roman" w:hAnsi="Times New Roman" w:cs="Times New Roman"/>
      <w:sz w:val="24"/>
      <w:szCs w:val="24"/>
    </w:rPr>
  </w:style>
  <w:style w:type="paragraph" w:styleId="afff1">
    <w:name w:val="List Paragraph"/>
    <w:qFormat/>
    <w:rsid w:val="00B52DE3"/>
    <w:pPr>
      <w:widowControl w:val="0"/>
      <w:ind w:left="720"/>
      <w:contextualSpacing/>
    </w:pPr>
  </w:style>
  <w:style w:type="paragraph" w:customStyle="1" w:styleId="ConsPlusNonformat">
    <w:name w:val="ConsPlusNonformat"/>
    <w:qFormat/>
    <w:rsid w:val="00B52DE3"/>
    <w:rPr>
      <w:rFonts w:ascii="Courier New" w:hAnsi="Courier New" w:cs="Courier New"/>
    </w:rPr>
  </w:style>
  <w:style w:type="paragraph" w:customStyle="1" w:styleId="btbodytext">
    <w:name w:val="Основной текст.Основной текст Знак.bt.body text"/>
    <w:basedOn w:val="a"/>
    <w:qFormat/>
    <w:rsid w:val="00B52DE3"/>
    <w:pPr>
      <w:spacing w:after="0" w:line="240" w:lineRule="auto"/>
      <w:jc w:val="both"/>
    </w:pPr>
    <w:rPr>
      <w:rFonts w:ascii="Times New Roman" w:eastAsia="Times New Roman" w:hAnsi="Times New Roman" w:cs="Times New Roman"/>
      <w:sz w:val="24"/>
      <w:szCs w:val="20"/>
      <w:lang w:eastAsia="ru-RU"/>
    </w:rPr>
  </w:style>
  <w:style w:type="paragraph" w:styleId="afff2">
    <w:name w:val="Body Text Indent"/>
    <w:basedOn w:val="aff8"/>
    <w:rsid w:val="00B52DE3"/>
    <w:pPr>
      <w:spacing w:after="200" w:line="276" w:lineRule="auto"/>
      <w:ind w:firstLine="360"/>
    </w:pPr>
    <w:rPr>
      <w:rFonts w:ascii="Calibri" w:eastAsia="Arial" w:hAnsi="Calibri" w:cs="Arial"/>
      <w:sz w:val="22"/>
      <w:szCs w:val="22"/>
    </w:rPr>
  </w:style>
  <w:style w:type="paragraph" w:customStyle="1" w:styleId="310">
    <w:name w:val="Основной текст 31"/>
    <w:basedOn w:val="a"/>
    <w:qFormat/>
    <w:rsid w:val="00B52DE3"/>
    <w:pPr>
      <w:spacing w:after="0" w:line="240" w:lineRule="auto"/>
      <w:ind w:right="-58"/>
      <w:jc w:val="both"/>
    </w:pPr>
    <w:rPr>
      <w:rFonts w:ascii="Times New Roman" w:eastAsia="Times New Roman" w:hAnsi="Times New Roman" w:cs="Times New Roman"/>
      <w:sz w:val="20"/>
      <w:szCs w:val="20"/>
      <w:lang w:eastAsia="ar-SA"/>
    </w:rPr>
  </w:style>
  <w:style w:type="paragraph" w:styleId="afff3">
    <w:name w:val="No Spacing"/>
    <w:basedOn w:val="a"/>
    <w:qFormat/>
    <w:rsid w:val="00B52DE3"/>
    <w:pPr>
      <w:spacing w:before="280" w:after="280"/>
    </w:pPr>
  </w:style>
  <w:style w:type="paragraph" w:customStyle="1" w:styleId="210">
    <w:name w:val="Заголовок №21"/>
    <w:basedOn w:val="a"/>
    <w:qFormat/>
    <w:rsid w:val="00B52DE3"/>
    <w:pPr>
      <w:widowControl w:val="0"/>
      <w:shd w:val="clear" w:color="auto" w:fill="FFFFFF"/>
      <w:spacing w:before="600" w:after="720" w:line="240" w:lineRule="atLeast"/>
      <w:ind w:hanging="1040"/>
      <w:outlineLvl w:val="1"/>
    </w:pPr>
    <w:rPr>
      <w:rFonts w:ascii="Times New Roman" w:hAnsi="Times New Roman" w:cs="Times New Roman"/>
      <w:b/>
      <w:bCs/>
      <w:sz w:val="27"/>
      <w:szCs w:val="27"/>
    </w:rPr>
  </w:style>
  <w:style w:type="paragraph" w:customStyle="1" w:styleId="1f8">
    <w:name w:val="Обычный1"/>
    <w:qFormat/>
    <w:rsid w:val="00B52DE3"/>
    <w:pPr>
      <w:widowControl w:val="0"/>
    </w:pPr>
    <w:rPr>
      <w:rFonts w:cs="Droid Sans Devanagari"/>
      <w:sz w:val="28"/>
    </w:rPr>
  </w:style>
  <w:style w:type="paragraph" w:styleId="afff4">
    <w:name w:val="Balloon Text"/>
    <w:basedOn w:val="a"/>
    <w:qFormat/>
    <w:rsid w:val="00B52DE3"/>
    <w:pPr>
      <w:spacing w:after="0" w:line="240" w:lineRule="auto"/>
    </w:pPr>
    <w:rPr>
      <w:rFonts w:ascii="Tahoma" w:hAnsi="Tahoma" w:cs="Tahoma"/>
      <w:sz w:val="16"/>
      <w:szCs w:val="16"/>
    </w:rPr>
  </w:style>
  <w:style w:type="paragraph" w:styleId="2f">
    <w:name w:val="Body Text 2"/>
    <w:basedOn w:val="a"/>
    <w:qFormat/>
    <w:rsid w:val="00B52DE3"/>
    <w:pPr>
      <w:spacing w:after="120" w:line="480" w:lineRule="auto"/>
    </w:pPr>
    <w:rPr>
      <w:rFonts w:ascii="Times New Roman" w:eastAsia="Times New Roman" w:hAnsi="Times New Roman" w:cs="Times New Roman"/>
      <w:sz w:val="24"/>
      <w:szCs w:val="24"/>
      <w:lang w:eastAsia="ru-RU"/>
    </w:rPr>
  </w:style>
  <w:style w:type="paragraph" w:customStyle="1" w:styleId="1f9">
    <w:name w:val="Обычный (веб)1"/>
    <w:basedOn w:val="a"/>
    <w:qFormat/>
    <w:rsid w:val="00B52DE3"/>
    <w:pPr>
      <w:spacing w:before="280" w:after="280" w:line="324" w:lineRule="auto"/>
      <w:ind w:firstLine="300"/>
    </w:pPr>
    <w:rPr>
      <w:rFonts w:ascii="Times New Roman" w:eastAsia="Times New Roman" w:hAnsi="Times New Roman" w:cs="Times New Roman"/>
      <w:sz w:val="24"/>
      <w:szCs w:val="24"/>
      <w:lang w:eastAsia="ru-RU"/>
    </w:rPr>
  </w:style>
  <w:style w:type="paragraph" w:customStyle="1" w:styleId="43">
    <w:name w:val="Основной текст4"/>
    <w:basedOn w:val="a"/>
    <w:qFormat/>
    <w:rsid w:val="00B52DE3"/>
    <w:pPr>
      <w:widowControl w:val="0"/>
      <w:shd w:val="clear" w:color="auto" w:fill="FFFFFF"/>
      <w:spacing w:after="0" w:line="0" w:lineRule="atLeast"/>
      <w:ind w:hanging="940"/>
    </w:pPr>
    <w:rPr>
      <w:rFonts w:ascii="Times New Roman" w:eastAsia="Times New Roman" w:hAnsi="Times New Roman" w:cs="Times New Roman"/>
      <w:sz w:val="25"/>
      <w:szCs w:val="25"/>
    </w:rPr>
  </w:style>
  <w:style w:type="paragraph" w:customStyle="1" w:styleId="2f0">
    <w:name w:val="Основной текст (2)"/>
    <w:basedOn w:val="a"/>
    <w:qFormat/>
    <w:rsid w:val="00B52DE3"/>
    <w:pPr>
      <w:widowControl w:val="0"/>
      <w:shd w:val="clear" w:color="auto" w:fill="FFFFFF"/>
      <w:spacing w:after="0" w:line="310" w:lineRule="exact"/>
      <w:ind w:firstLine="700"/>
    </w:pPr>
    <w:rPr>
      <w:rFonts w:ascii="Times New Roman" w:eastAsia="Times New Roman" w:hAnsi="Times New Roman" w:cs="Times New Roman"/>
      <w:b/>
      <w:bCs/>
      <w:sz w:val="25"/>
      <w:szCs w:val="25"/>
    </w:rPr>
  </w:style>
  <w:style w:type="paragraph" w:styleId="2f1">
    <w:name w:val="Body Text Indent 2"/>
    <w:basedOn w:val="a"/>
    <w:qFormat/>
    <w:rsid w:val="00B52DE3"/>
    <w:pPr>
      <w:spacing w:after="120" w:line="480" w:lineRule="auto"/>
      <w:ind w:left="283"/>
    </w:pPr>
  </w:style>
  <w:style w:type="paragraph" w:customStyle="1" w:styleId="ConsPlusTitle">
    <w:name w:val="ConsPlusTitle"/>
    <w:qFormat/>
    <w:rsid w:val="00B52DE3"/>
    <w:pPr>
      <w:widowControl w:val="0"/>
    </w:pPr>
    <w:rPr>
      <w:rFonts w:ascii="Calibri" w:eastAsia="Calibri" w:hAnsi="Calibri" w:cs="Calibri"/>
      <w:b/>
      <w:bCs/>
      <w:sz w:val="28"/>
      <w:szCs w:val="28"/>
    </w:rPr>
  </w:style>
  <w:style w:type="paragraph" w:customStyle="1" w:styleId="msonormalcxspmiddle">
    <w:name w:val="msonormalcxspmiddle"/>
    <w:basedOn w:val="a"/>
    <w:qFormat/>
    <w:rsid w:val="00B52DE3"/>
    <w:pPr>
      <w:spacing w:before="280" w:after="280" w:line="240" w:lineRule="auto"/>
    </w:pPr>
    <w:rPr>
      <w:rFonts w:ascii="Times New Roman" w:eastAsia="Times New Roman" w:hAnsi="Times New Roman" w:cs="Times New Roman"/>
      <w:sz w:val="24"/>
      <w:szCs w:val="24"/>
      <w:lang w:eastAsia="ru-RU"/>
    </w:rPr>
  </w:style>
  <w:style w:type="paragraph" w:customStyle="1" w:styleId="s1">
    <w:name w:val="s_1"/>
    <w:basedOn w:val="a"/>
    <w:qFormat/>
    <w:rsid w:val="00B52DE3"/>
    <w:pPr>
      <w:spacing w:before="280" w:after="280" w:line="240" w:lineRule="auto"/>
    </w:pPr>
    <w:rPr>
      <w:rFonts w:ascii="Times New Roman" w:eastAsia="Times New Roman" w:hAnsi="Times New Roman" w:cs="Times New Roman"/>
      <w:sz w:val="24"/>
      <w:szCs w:val="24"/>
      <w:lang w:eastAsia="ru-RU"/>
    </w:rPr>
  </w:style>
  <w:style w:type="paragraph" w:customStyle="1" w:styleId="21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B52DE3"/>
    <w:pPr>
      <w:tabs>
        <w:tab w:val="left" w:pos="1287"/>
      </w:tabs>
      <w:spacing w:after="160" w:line="240" w:lineRule="exact"/>
      <w:ind w:left="1287" w:hanging="360"/>
      <w:jc w:val="both"/>
    </w:pPr>
    <w:rPr>
      <w:rFonts w:ascii="Verdana" w:eastAsia="Times New Roman" w:hAnsi="Verdana"/>
      <w:sz w:val="20"/>
      <w:szCs w:val="20"/>
      <w:lang w:val="en-US"/>
    </w:rPr>
  </w:style>
  <w:style w:type="paragraph" w:customStyle="1" w:styleId="afff5">
    <w:name w:val="Прижатый влево"/>
    <w:basedOn w:val="a"/>
    <w:next w:val="a"/>
    <w:qFormat/>
    <w:rsid w:val="00B52DE3"/>
    <w:pPr>
      <w:spacing w:after="0" w:line="240" w:lineRule="auto"/>
    </w:pPr>
    <w:rPr>
      <w:rFonts w:ascii="Arial" w:eastAsia="Arial" w:hAnsi="Arial"/>
      <w:sz w:val="24"/>
      <w:szCs w:val="24"/>
      <w:lang w:eastAsia="ru-RU"/>
    </w:rPr>
  </w:style>
  <w:style w:type="paragraph" w:customStyle="1" w:styleId="Style104">
    <w:name w:val="Style104"/>
    <w:basedOn w:val="a"/>
    <w:qFormat/>
    <w:rsid w:val="00B52DE3"/>
    <w:pPr>
      <w:widowControl w:val="0"/>
      <w:spacing w:after="0" w:line="240" w:lineRule="auto"/>
    </w:pPr>
    <w:rPr>
      <w:rFonts w:ascii="Times New Roman" w:eastAsia="Times New Roman" w:hAnsi="Times New Roman" w:cs="Times New Roman"/>
      <w:sz w:val="24"/>
      <w:szCs w:val="24"/>
      <w:lang w:eastAsia="ru-RU"/>
    </w:rPr>
  </w:style>
  <w:style w:type="paragraph" w:customStyle="1" w:styleId="Noeeu">
    <w:name w:val="Noeeu"/>
    <w:qFormat/>
    <w:rsid w:val="00B52DE3"/>
    <w:pPr>
      <w:widowControl w:val="0"/>
    </w:pPr>
    <w:rPr>
      <w:rFonts w:cs="Droid Sans Devanagari"/>
      <w:spacing w:val="-1"/>
      <w:sz w:val="24"/>
      <w:vertAlign w:val="subscript"/>
      <w:lang w:val="en-US"/>
    </w:rPr>
  </w:style>
  <w:style w:type="paragraph" w:styleId="34">
    <w:name w:val="Body Text Indent 3"/>
    <w:basedOn w:val="a"/>
    <w:qFormat/>
    <w:rsid w:val="00B52DE3"/>
    <w:pPr>
      <w:spacing w:after="120" w:line="240" w:lineRule="auto"/>
      <w:ind w:left="283"/>
    </w:pPr>
    <w:rPr>
      <w:rFonts w:ascii="Times New Roman" w:eastAsia="Times New Roman" w:hAnsi="Times New Roman" w:cs="Times New Roman"/>
      <w:sz w:val="16"/>
      <w:szCs w:val="16"/>
      <w:lang w:eastAsia="ru-RU"/>
    </w:rPr>
  </w:style>
  <w:style w:type="paragraph" w:styleId="afff6">
    <w:name w:val="Document Map"/>
    <w:basedOn w:val="a"/>
    <w:qFormat/>
    <w:rsid w:val="00B52DE3"/>
    <w:pPr>
      <w:shd w:val="clear" w:color="auto" w:fill="000080"/>
      <w:spacing w:after="0" w:line="240" w:lineRule="auto"/>
    </w:pPr>
    <w:rPr>
      <w:rFonts w:ascii="Tahoma" w:eastAsia="Times New Roman" w:hAnsi="Tahoma" w:cs="Tahoma"/>
      <w:sz w:val="20"/>
      <w:szCs w:val="20"/>
      <w:lang w:eastAsia="ru-RU"/>
    </w:rPr>
  </w:style>
  <w:style w:type="paragraph" w:customStyle="1" w:styleId="afff7">
    <w:name w:val="Знак"/>
    <w:basedOn w:val="a"/>
    <w:qFormat/>
    <w:rsid w:val="00B52DE3"/>
    <w:pPr>
      <w:widowControl w:val="0"/>
      <w:spacing w:after="160" w:line="240" w:lineRule="exact"/>
      <w:jc w:val="right"/>
    </w:pPr>
    <w:rPr>
      <w:rFonts w:ascii="Times New Roman" w:eastAsia="Times New Roman" w:hAnsi="Times New Roman" w:cs="Times New Roman"/>
      <w:sz w:val="20"/>
      <w:szCs w:val="20"/>
      <w:lang w:val="en-GB"/>
    </w:rPr>
  </w:style>
  <w:style w:type="paragraph" w:styleId="afff8">
    <w:name w:val="Plain Text"/>
    <w:basedOn w:val="a"/>
    <w:qFormat/>
    <w:rsid w:val="00B52DE3"/>
    <w:pPr>
      <w:spacing w:after="0" w:line="240" w:lineRule="auto"/>
    </w:pPr>
    <w:rPr>
      <w:rFonts w:ascii="Courier New" w:eastAsia="Times New Roman" w:hAnsi="Courier New" w:cs="Times New Roman"/>
      <w:szCs w:val="20"/>
      <w:lang w:eastAsia="ru-RU"/>
    </w:rPr>
  </w:style>
  <w:style w:type="paragraph" w:customStyle="1" w:styleId="xl42">
    <w:name w:val="xl42"/>
    <w:basedOn w:val="a"/>
    <w:qFormat/>
    <w:rsid w:val="00B52DE3"/>
    <w:pPr>
      <w:pBdr>
        <w:left w:val="single" w:sz="4" w:space="0" w:color="000000"/>
        <w:right w:val="single" w:sz="4" w:space="0" w:color="000000"/>
      </w:pBdr>
      <w:spacing w:before="280" w:after="280" w:line="240" w:lineRule="auto"/>
      <w:jc w:val="center"/>
    </w:pPr>
    <w:rPr>
      <w:rFonts w:ascii="Arial Unicode MS" w:eastAsia="Arial Unicode MS" w:hAnsi="Arial Unicode MS" w:cs="Arial Unicode MS"/>
      <w:sz w:val="24"/>
      <w:szCs w:val="24"/>
      <w:lang w:eastAsia="ru-RU"/>
    </w:rPr>
  </w:style>
  <w:style w:type="paragraph" w:customStyle="1" w:styleId="212">
    <w:name w:val="Основной текст 21"/>
    <w:basedOn w:val="a"/>
    <w:qFormat/>
    <w:rsid w:val="00B52DE3"/>
    <w:pPr>
      <w:spacing w:after="0" w:line="240" w:lineRule="auto"/>
      <w:jc w:val="both"/>
    </w:pPr>
    <w:rPr>
      <w:rFonts w:ascii="Times New Roman" w:eastAsia="Times New Roman" w:hAnsi="Times New Roman" w:cs="Times New Roman"/>
      <w:sz w:val="24"/>
      <w:szCs w:val="20"/>
      <w:lang w:eastAsia="ru-RU"/>
    </w:rPr>
  </w:style>
  <w:style w:type="paragraph" w:customStyle="1" w:styleId="xl50">
    <w:name w:val="xl50"/>
    <w:basedOn w:val="a"/>
    <w:qFormat/>
    <w:rsid w:val="00B52DE3"/>
    <w:pPr>
      <w:pBdr>
        <w:left w:val="single" w:sz="4" w:space="0" w:color="000000"/>
        <w:bottom w:val="single" w:sz="4" w:space="0" w:color="000000"/>
        <w:right w:val="single" w:sz="12" w:space="0" w:color="000000"/>
      </w:pBdr>
      <w:spacing w:before="280" w:after="280" w:line="240" w:lineRule="auto"/>
      <w:jc w:val="center"/>
    </w:pPr>
    <w:rPr>
      <w:rFonts w:ascii="Times New Roman" w:eastAsia="Arial Unicode MS" w:hAnsi="Times New Roman" w:cs="Times New Roman"/>
      <w:b/>
      <w:bCs/>
      <w:sz w:val="28"/>
      <w:szCs w:val="28"/>
      <w:lang w:eastAsia="ru-RU"/>
    </w:rPr>
  </w:style>
  <w:style w:type="paragraph" w:customStyle="1" w:styleId="35">
    <w:name w:val="Знак3"/>
    <w:basedOn w:val="a"/>
    <w:qFormat/>
    <w:rsid w:val="00B52DE3"/>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ConsTitle">
    <w:name w:val="ConsTitle"/>
    <w:qFormat/>
    <w:rsid w:val="00B52DE3"/>
    <w:pPr>
      <w:widowControl w:val="0"/>
      <w:ind w:right="19772"/>
    </w:pPr>
    <w:rPr>
      <w:rFonts w:ascii="Arial" w:hAnsi="Arial" w:cs="Arial"/>
      <w:b/>
      <w:bCs/>
      <w:sz w:val="16"/>
      <w:szCs w:val="16"/>
    </w:rPr>
  </w:style>
  <w:style w:type="paragraph" w:customStyle="1" w:styleId="1fa">
    <w:name w:val="Знак Знак1 Знак Знак Знак Знак"/>
    <w:basedOn w:val="a"/>
    <w:qFormat/>
    <w:rsid w:val="00B52DE3"/>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Noparagraphstyle">
    <w:name w:val="[No paragraph style]"/>
    <w:qFormat/>
    <w:rsid w:val="00B52DE3"/>
    <w:pPr>
      <w:spacing w:line="288" w:lineRule="auto"/>
    </w:pPr>
    <w:rPr>
      <w:rFonts w:cs="Droid Sans Devanagari"/>
      <w:color w:val="000000"/>
      <w:sz w:val="24"/>
      <w:szCs w:val="24"/>
    </w:rPr>
  </w:style>
  <w:style w:type="paragraph" w:customStyle="1" w:styleId="ConsPlusCell">
    <w:name w:val="ConsPlusCell"/>
    <w:qFormat/>
    <w:rsid w:val="00B52DE3"/>
    <w:pPr>
      <w:widowControl w:val="0"/>
    </w:pPr>
    <w:rPr>
      <w:rFonts w:ascii="Arial" w:hAnsi="Arial" w:cs="Arial"/>
    </w:rPr>
  </w:style>
  <w:style w:type="paragraph" w:customStyle="1" w:styleId="36">
    <w:name w:val="Основной текст3"/>
    <w:basedOn w:val="a"/>
    <w:qFormat/>
    <w:rsid w:val="00B52DE3"/>
    <w:pPr>
      <w:shd w:val="clear" w:color="auto" w:fill="FFFFFF"/>
      <w:spacing w:before="600" w:after="1020" w:line="0" w:lineRule="atLeast"/>
      <w:jc w:val="center"/>
    </w:pPr>
    <w:rPr>
      <w:rFonts w:ascii="Times New Roman" w:eastAsia="Times New Roman" w:hAnsi="Times New Roman" w:cs="Times New Roman"/>
      <w:spacing w:val="18"/>
      <w:lang w:eastAsia="ru-RU"/>
    </w:rPr>
  </w:style>
  <w:style w:type="paragraph" w:customStyle="1" w:styleId="2f2">
    <w:name w:val="Основной текст2"/>
    <w:basedOn w:val="a"/>
    <w:qFormat/>
    <w:rsid w:val="00B52DE3"/>
    <w:pPr>
      <w:widowControl w:val="0"/>
      <w:shd w:val="clear" w:color="auto" w:fill="FFFFFF"/>
      <w:spacing w:after="0" w:line="264" w:lineRule="exact"/>
      <w:ind w:hanging="1060"/>
      <w:jc w:val="center"/>
    </w:pPr>
    <w:rPr>
      <w:rFonts w:ascii="Times New Roman" w:eastAsia="Times New Roman" w:hAnsi="Times New Roman" w:cs="Times New Roman"/>
      <w:color w:val="000000"/>
      <w:spacing w:val="-3"/>
      <w:lang w:eastAsia="ru-RU" w:bidi="ru-RU"/>
    </w:rPr>
  </w:style>
  <w:style w:type="paragraph" w:customStyle="1" w:styleId="37">
    <w:name w:val="Основной текст (3)"/>
    <w:basedOn w:val="a"/>
    <w:qFormat/>
    <w:rsid w:val="00B52DE3"/>
    <w:pPr>
      <w:widowControl w:val="0"/>
      <w:shd w:val="clear" w:color="auto" w:fill="FFFFFF"/>
      <w:spacing w:before="2640" w:after="180" w:line="0" w:lineRule="atLeast"/>
      <w:ind w:hanging="1600"/>
      <w:jc w:val="center"/>
    </w:pPr>
    <w:rPr>
      <w:b/>
      <w:bCs/>
      <w:spacing w:val="-3"/>
    </w:rPr>
  </w:style>
  <w:style w:type="paragraph" w:customStyle="1" w:styleId="2f3">
    <w:name w:val="Подпись к таблице (2)"/>
    <w:basedOn w:val="a"/>
    <w:qFormat/>
    <w:rsid w:val="00B52DE3"/>
    <w:pPr>
      <w:widowControl w:val="0"/>
      <w:shd w:val="clear" w:color="auto" w:fill="FFFFFF"/>
      <w:spacing w:after="0" w:line="0" w:lineRule="atLeast"/>
    </w:pPr>
    <w:rPr>
      <w:i/>
      <w:iCs/>
      <w:spacing w:val="-2"/>
    </w:rPr>
  </w:style>
  <w:style w:type="paragraph" w:customStyle="1" w:styleId="1fb">
    <w:name w:val="Заголовок №1"/>
    <w:basedOn w:val="a"/>
    <w:qFormat/>
    <w:rsid w:val="00B52DE3"/>
    <w:pPr>
      <w:widowControl w:val="0"/>
      <w:shd w:val="clear" w:color="auto" w:fill="FFFFFF"/>
      <w:spacing w:before="240" w:after="0" w:line="264" w:lineRule="exact"/>
      <w:jc w:val="both"/>
      <w:outlineLvl w:val="0"/>
    </w:pPr>
    <w:rPr>
      <w:b/>
      <w:bCs/>
      <w:spacing w:val="-3"/>
    </w:rPr>
  </w:style>
  <w:style w:type="paragraph" w:customStyle="1" w:styleId="53">
    <w:name w:val="Основной текст (5)"/>
    <w:basedOn w:val="a"/>
    <w:qFormat/>
    <w:rsid w:val="00B52DE3"/>
    <w:pPr>
      <w:widowControl w:val="0"/>
      <w:shd w:val="clear" w:color="auto" w:fill="FFFFFF"/>
      <w:spacing w:after="0" w:line="269" w:lineRule="exact"/>
      <w:ind w:firstLine="720"/>
    </w:pPr>
    <w:rPr>
      <w:b/>
      <w:bCs/>
      <w:i/>
      <w:iCs/>
      <w:spacing w:val="-3"/>
    </w:rPr>
  </w:style>
  <w:style w:type="paragraph" w:customStyle="1" w:styleId="afff9">
    <w:name w:val="Подпись к таблице"/>
    <w:basedOn w:val="a"/>
    <w:qFormat/>
    <w:rsid w:val="00B52DE3"/>
    <w:pPr>
      <w:widowControl w:val="0"/>
      <w:shd w:val="clear" w:color="auto" w:fill="FFFFFF"/>
      <w:spacing w:after="0" w:line="0" w:lineRule="atLeast"/>
    </w:pPr>
    <w:rPr>
      <w:b/>
      <w:bCs/>
      <w:spacing w:val="-3"/>
    </w:rPr>
  </w:style>
  <w:style w:type="paragraph" w:customStyle="1" w:styleId="44">
    <w:name w:val="Подпись к таблице (4)"/>
    <w:basedOn w:val="a"/>
    <w:qFormat/>
    <w:rsid w:val="00B52DE3"/>
    <w:pPr>
      <w:widowControl w:val="0"/>
      <w:shd w:val="clear" w:color="auto" w:fill="FFFFFF"/>
      <w:spacing w:after="60" w:line="0" w:lineRule="atLeast"/>
    </w:pPr>
    <w:rPr>
      <w:i/>
      <w:iCs/>
      <w:spacing w:val="46"/>
      <w:sz w:val="16"/>
      <w:szCs w:val="16"/>
    </w:rPr>
  </w:style>
  <w:style w:type="paragraph" w:customStyle="1" w:styleId="54">
    <w:name w:val="Подпись к таблице (5)"/>
    <w:basedOn w:val="a"/>
    <w:qFormat/>
    <w:rsid w:val="00B52DE3"/>
    <w:pPr>
      <w:widowControl w:val="0"/>
      <w:shd w:val="clear" w:color="auto" w:fill="FFFFFF"/>
      <w:spacing w:before="60" w:after="0" w:line="0" w:lineRule="atLeast"/>
    </w:pPr>
    <w:rPr>
      <w:spacing w:val="-2"/>
      <w:sz w:val="16"/>
      <w:szCs w:val="16"/>
    </w:rPr>
  </w:style>
  <w:style w:type="paragraph" w:customStyle="1" w:styleId="63">
    <w:name w:val="Колонтитул (6)"/>
    <w:basedOn w:val="a"/>
    <w:qFormat/>
    <w:rsid w:val="00B52DE3"/>
    <w:pPr>
      <w:widowControl w:val="0"/>
      <w:shd w:val="clear" w:color="auto" w:fill="FFFFFF"/>
      <w:spacing w:after="0" w:line="0" w:lineRule="atLeast"/>
    </w:pPr>
    <w:rPr>
      <w:i/>
      <w:iCs/>
      <w:spacing w:val="-3"/>
    </w:rPr>
  </w:style>
  <w:style w:type="paragraph" w:customStyle="1" w:styleId="TableParagraph">
    <w:name w:val="Table Paragraph"/>
    <w:basedOn w:val="a"/>
    <w:qFormat/>
    <w:rsid w:val="00B52DE3"/>
    <w:pPr>
      <w:widowControl w:val="0"/>
      <w:spacing w:after="0" w:line="240" w:lineRule="auto"/>
    </w:pPr>
    <w:rPr>
      <w:rFonts w:cs="Times New Roman"/>
      <w:lang w:val="en-US"/>
    </w:rPr>
  </w:style>
  <w:style w:type="paragraph" w:styleId="38">
    <w:name w:val="Body Text 3"/>
    <w:basedOn w:val="a"/>
    <w:qFormat/>
    <w:rsid w:val="00B52DE3"/>
    <w:pPr>
      <w:spacing w:after="120"/>
    </w:pPr>
    <w:rPr>
      <w:rFonts w:eastAsia="Arial"/>
      <w:sz w:val="16"/>
      <w:szCs w:val="16"/>
      <w:lang w:eastAsia="ru-RU"/>
    </w:rPr>
  </w:style>
  <w:style w:type="paragraph" w:styleId="afffa">
    <w:name w:val="annotation text"/>
    <w:basedOn w:val="a"/>
    <w:rsid w:val="00B52DE3"/>
    <w:pPr>
      <w:spacing w:line="240" w:lineRule="auto"/>
    </w:pPr>
    <w:rPr>
      <w:rFonts w:eastAsia="Arial"/>
      <w:sz w:val="20"/>
      <w:szCs w:val="20"/>
      <w:lang w:eastAsia="ru-RU"/>
    </w:rPr>
  </w:style>
  <w:style w:type="paragraph" w:customStyle="1" w:styleId="221">
    <w:name w:val="Основной текст 22"/>
    <w:basedOn w:val="a"/>
    <w:qFormat/>
    <w:rsid w:val="00B52DE3"/>
    <w:pPr>
      <w:spacing w:after="0" w:line="240" w:lineRule="auto"/>
      <w:jc w:val="both"/>
    </w:pPr>
    <w:rPr>
      <w:rFonts w:ascii="Times New Roman" w:eastAsia="Times New Roman" w:hAnsi="Times New Roman" w:cs="Times New Roman"/>
      <w:sz w:val="24"/>
      <w:szCs w:val="20"/>
      <w:lang w:eastAsia="ru-RU"/>
    </w:rPr>
  </w:style>
  <w:style w:type="paragraph" w:customStyle="1" w:styleId="45">
    <w:name w:val="Колонтитул (4)"/>
    <w:basedOn w:val="a"/>
    <w:qFormat/>
    <w:rsid w:val="00B52DE3"/>
    <w:pPr>
      <w:widowControl w:val="0"/>
      <w:shd w:val="clear" w:color="auto" w:fill="FFFFFF"/>
      <w:spacing w:after="0" w:line="0" w:lineRule="atLeast"/>
    </w:pPr>
    <w:rPr>
      <w:i/>
      <w:iCs/>
      <w:spacing w:val="1"/>
      <w:sz w:val="21"/>
      <w:szCs w:val="21"/>
    </w:rPr>
  </w:style>
  <w:style w:type="paragraph" w:customStyle="1" w:styleId="ConsNormal">
    <w:name w:val="ConsNormal"/>
    <w:qFormat/>
    <w:rsid w:val="00B52DE3"/>
    <w:pPr>
      <w:widowControl w:val="0"/>
      <w:ind w:firstLine="720"/>
    </w:pPr>
    <w:rPr>
      <w:rFonts w:ascii="Arial" w:hAnsi="Arial" w:cs="Arial"/>
    </w:rPr>
  </w:style>
  <w:style w:type="paragraph" w:styleId="afffb">
    <w:name w:val="annotation subject"/>
    <w:basedOn w:val="afffa"/>
    <w:next w:val="afffa"/>
    <w:qFormat/>
    <w:rsid w:val="00B52DE3"/>
    <w:rPr>
      <w:b/>
      <w:bCs/>
    </w:rPr>
  </w:style>
  <w:style w:type="paragraph" w:customStyle="1" w:styleId="pcenter1">
    <w:name w:val="pcenter1"/>
    <w:basedOn w:val="a"/>
    <w:qFormat/>
    <w:rsid w:val="00B52DE3"/>
    <w:pPr>
      <w:spacing w:before="280" w:after="180" w:line="330" w:lineRule="atLeast"/>
      <w:jc w:val="center"/>
    </w:pPr>
    <w:rPr>
      <w:rFonts w:ascii="Times New Roman" w:eastAsia="Times New Roman" w:hAnsi="Times New Roman" w:cs="Times New Roman"/>
      <w:sz w:val="24"/>
      <w:szCs w:val="24"/>
      <w:lang w:eastAsia="ru-RU"/>
    </w:rPr>
  </w:style>
  <w:style w:type="paragraph" w:customStyle="1" w:styleId="230">
    <w:name w:val="Основной текст 23"/>
    <w:basedOn w:val="a"/>
    <w:qFormat/>
    <w:rsid w:val="00B52DE3"/>
    <w:pPr>
      <w:spacing w:after="0" w:line="240" w:lineRule="auto"/>
      <w:jc w:val="both"/>
    </w:pPr>
    <w:rPr>
      <w:rFonts w:ascii="Times New Roman" w:eastAsia="Times New Roman" w:hAnsi="Times New Roman" w:cs="Times New Roman"/>
      <w:sz w:val="24"/>
      <w:szCs w:val="20"/>
      <w:lang w:eastAsia="ru-RU"/>
    </w:rPr>
  </w:style>
  <w:style w:type="paragraph" w:customStyle="1" w:styleId="user1">
    <w:name w:val="Содержимое таблицы (user)"/>
    <w:qFormat/>
    <w:rsid w:val="00B52DE3"/>
    <w:pPr>
      <w:widowControl w:val="0"/>
      <w:suppressLineNumbers/>
    </w:pPr>
    <w:rPr>
      <w:rFonts w:cs="Droid Sans Devanagari"/>
      <w:sz w:val="24"/>
      <w:szCs w:val="24"/>
    </w:rPr>
  </w:style>
  <w:style w:type="paragraph" w:customStyle="1" w:styleId="1fc">
    <w:name w:val="Без интервала1"/>
    <w:qFormat/>
    <w:rsid w:val="00B52DE3"/>
    <w:pPr>
      <w:spacing w:before="280" w:after="280"/>
    </w:pPr>
    <w:rPr>
      <w:rFonts w:cs="Droid Sans Devanagari"/>
      <w:sz w:val="24"/>
      <w:szCs w:val="24"/>
      <w:lang w:val="en-US" w:eastAsia="en-US"/>
    </w:rPr>
  </w:style>
  <w:style w:type="paragraph" w:customStyle="1" w:styleId="2f4">
    <w:name w:val="Обычный (веб)2"/>
    <w:qFormat/>
    <w:rsid w:val="00B52DE3"/>
    <w:pPr>
      <w:spacing w:before="280" w:after="280"/>
    </w:pPr>
    <w:rPr>
      <w:rFonts w:cs="Droid Sans Devanagari"/>
      <w:sz w:val="24"/>
      <w:szCs w:val="24"/>
    </w:rPr>
  </w:style>
  <w:style w:type="paragraph" w:customStyle="1" w:styleId="user2">
    <w:name w:val="Содержимое врезки (user)"/>
    <w:basedOn w:val="a"/>
    <w:qFormat/>
    <w:rsid w:val="00B52DE3"/>
  </w:style>
  <w:style w:type="paragraph" w:customStyle="1" w:styleId="1fd">
    <w:name w:val="Абзац списка1"/>
    <w:qFormat/>
    <w:rsid w:val="00B52DE3"/>
    <w:pPr>
      <w:widowControl w:val="0"/>
      <w:ind w:left="720"/>
      <w:contextualSpacing/>
    </w:pPr>
    <w:rPr>
      <w:rFonts w:cs="Droid Sans Devanagari"/>
    </w:rPr>
  </w:style>
  <w:style w:type="paragraph" w:customStyle="1" w:styleId="2f5">
    <w:name w:val="Основной текст с отступом2"/>
    <w:qFormat/>
    <w:rsid w:val="00B52DE3"/>
    <w:pPr>
      <w:ind w:firstLine="709"/>
      <w:jc w:val="both"/>
    </w:pPr>
    <w:rPr>
      <w:rFonts w:cs="Droid Sans Devanagari"/>
      <w:sz w:val="28"/>
      <w:lang w:val="en-US" w:eastAsia="en-US"/>
    </w:rPr>
  </w:style>
  <w:style w:type="paragraph" w:customStyle="1" w:styleId="112">
    <w:name w:val="Заголовок 11"/>
    <w:basedOn w:val="a"/>
    <w:next w:val="a"/>
    <w:qFormat/>
    <w:rsid w:val="00B52DE3"/>
    <w:pPr>
      <w:keepNext/>
      <w:keepLines/>
      <w:spacing w:before="480" w:after="0"/>
      <w:outlineLvl w:val="0"/>
    </w:pPr>
    <w:rPr>
      <w:rFonts w:ascii="Cambria" w:eastAsia="Arial" w:hAnsi="Cambria"/>
      <w:b/>
      <w:bCs/>
      <w:color w:val="365F91"/>
      <w:sz w:val="28"/>
      <w:szCs w:val="28"/>
    </w:rPr>
  </w:style>
  <w:style w:type="paragraph" w:customStyle="1" w:styleId="510">
    <w:name w:val="Заголовок 51"/>
    <w:basedOn w:val="a"/>
    <w:next w:val="a"/>
    <w:qFormat/>
    <w:rsid w:val="00B52DE3"/>
    <w:pPr>
      <w:spacing w:before="240" w:after="60" w:line="240" w:lineRule="auto"/>
      <w:outlineLvl w:val="4"/>
    </w:pPr>
    <w:rPr>
      <w:rFonts w:ascii="Times New Roman" w:eastAsia="Times New Roman" w:hAnsi="Times New Roman" w:cs="Times New Roman"/>
      <w:b/>
      <w:i/>
      <w:sz w:val="26"/>
      <w:szCs w:val="20"/>
      <w:lang w:eastAsia="ru-RU"/>
    </w:rPr>
  </w:style>
  <w:style w:type="paragraph" w:customStyle="1" w:styleId="user3">
    <w:name w:val="Текст в заданном формате (user)"/>
    <w:basedOn w:val="a"/>
    <w:qFormat/>
    <w:rsid w:val="00B52DE3"/>
    <w:pPr>
      <w:spacing w:after="0"/>
    </w:pPr>
    <w:rPr>
      <w:rFonts w:ascii="Liberation Mono" w:eastAsia="Liberation Mono" w:hAnsi="Liberation Mono" w:cs="Liberation Mono"/>
      <w:sz w:val="20"/>
      <w:szCs w:val="20"/>
    </w:rPr>
  </w:style>
  <w:style w:type="paragraph" w:customStyle="1" w:styleId="ce3ff13fed3fee3fe23fed3fee3fe93ff23fe53fea3ff13ff23f">
    <w:name w:val="Îce3fñf13fíed3fîee3fâe23fíed3fîee3fée93f òf23fåe53fêea3fñf13fòf23f"/>
    <w:basedOn w:val="a"/>
    <w:qFormat/>
    <w:rsid w:val="00B52DE3"/>
    <w:pPr>
      <w:spacing w:after="120"/>
    </w:pPr>
    <w:rPr>
      <w:lang w:eastAsia="ru-RU"/>
    </w:rPr>
  </w:style>
  <w:style w:type="paragraph" w:customStyle="1" w:styleId="113">
    <w:name w:val="Основной текст (11)"/>
    <w:basedOn w:val="a"/>
    <w:qFormat/>
    <w:rsid w:val="00B52DE3"/>
    <w:pPr>
      <w:widowControl w:val="0"/>
      <w:shd w:val="clear" w:color="auto" w:fill="FFFFFF"/>
      <w:spacing w:after="0" w:line="0" w:lineRule="atLeast"/>
    </w:pPr>
    <w:rPr>
      <w:i/>
      <w:iCs/>
      <w:spacing w:val="-2"/>
    </w:rPr>
  </w:style>
  <w:style w:type="paragraph" w:customStyle="1" w:styleId="1fe">
    <w:name w:val="1 Заголовок"/>
    <w:basedOn w:val="Heading1"/>
    <w:qFormat/>
    <w:rsid w:val="00B52DE3"/>
    <w:pPr>
      <w:widowControl w:val="0"/>
      <w:spacing w:line="360" w:lineRule="auto"/>
      <w:ind w:firstLine="709"/>
      <w:jc w:val="center"/>
    </w:pPr>
    <w:rPr>
      <w:rFonts w:ascii="Times New Roman" w:hAnsi="Times New Roman" w:cs="Times New Roman"/>
      <w:color w:val="000000"/>
    </w:rPr>
  </w:style>
  <w:style w:type="paragraph" w:customStyle="1" w:styleId="2f6">
    <w:name w:val="2Свой заголовок"/>
    <w:basedOn w:val="Heading2"/>
    <w:qFormat/>
    <w:rsid w:val="00B52DE3"/>
    <w:pPr>
      <w:widowControl w:val="0"/>
      <w:spacing w:after="0" w:line="360" w:lineRule="auto"/>
      <w:ind w:left="1429"/>
      <w:jc w:val="center"/>
    </w:pPr>
    <w:rPr>
      <w:rFonts w:ascii="Times New Roman" w:hAnsi="Times New Roman"/>
      <w:i w:val="0"/>
      <w:color w:val="000000"/>
    </w:rPr>
  </w:style>
  <w:style w:type="paragraph" w:customStyle="1" w:styleId="72">
    <w:name w:val="Оглавление 7 Знак"/>
    <w:basedOn w:val="70"/>
    <w:qFormat/>
    <w:rsid w:val="00B52DE3"/>
    <w:pPr>
      <w:spacing w:after="120" w:line="240" w:lineRule="auto"/>
      <w:ind w:left="0"/>
    </w:pPr>
    <w:rPr>
      <w:rFonts w:ascii="Times New Roman" w:eastAsia="Times New Roman" w:hAnsi="Times New Roman" w:cs="Times New Roman"/>
      <w:sz w:val="24"/>
      <w:szCs w:val="24"/>
      <w:lang w:eastAsia="zh-CN"/>
    </w:rPr>
  </w:style>
  <w:style w:type="paragraph" w:customStyle="1" w:styleId="rtejustify1">
    <w:name w:val="rtejustify1"/>
    <w:qFormat/>
    <w:rsid w:val="00B52DE3"/>
    <w:pPr>
      <w:spacing w:after="50"/>
      <w:ind w:firstLine="709"/>
      <w:jc w:val="both"/>
    </w:pPr>
    <w:rPr>
      <w:rFonts w:ascii="Tahoma" w:hAnsi="Tahoma" w:cs="Tahoma"/>
      <w:sz w:val="24"/>
      <w:szCs w:val="24"/>
    </w:rPr>
  </w:style>
  <w:style w:type="paragraph" w:customStyle="1" w:styleId="1ff">
    <w:name w:val="Основной текст с отступом1"/>
    <w:qFormat/>
    <w:rsid w:val="00B52DE3"/>
    <w:pPr>
      <w:spacing w:after="120" w:line="480" w:lineRule="auto"/>
    </w:pPr>
    <w:rPr>
      <w:sz w:val="24"/>
    </w:rPr>
  </w:style>
  <w:style w:type="paragraph" w:customStyle="1" w:styleId="Standard">
    <w:name w:val="Standard"/>
    <w:qFormat/>
    <w:rsid w:val="00B52DE3"/>
    <w:rPr>
      <w:color w:val="000000"/>
      <w:sz w:val="24"/>
      <w:lang w:eastAsia="zh-CN"/>
    </w:rPr>
  </w:style>
  <w:style w:type="paragraph" w:customStyle="1" w:styleId="afffc">
    <w:name w:val="Содержимое таблицы"/>
    <w:qFormat/>
    <w:rsid w:val="00B52DE3"/>
    <w:rPr>
      <w:rFonts w:ascii="Liberation Serif" w:hAnsi="Liberation Serif" w:cs="Liberation Serif"/>
      <w:color w:val="000000"/>
      <w:sz w:val="24"/>
      <w:lang w:eastAsia="zh-CN"/>
    </w:rPr>
  </w:style>
  <w:style w:type="paragraph" w:customStyle="1" w:styleId="Textbody">
    <w:name w:val="Text body"/>
    <w:qFormat/>
    <w:rsid w:val="00B52DE3"/>
    <w:pPr>
      <w:spacing w:after="140" w:line="276" w:lineRule="auto"/>
    </w:pPr>
    <w:rPr>
      <w:rFonts w:ascii="Liberation Serif" w:eastAsia="Droid Sans Fallback" w:hAnsi="Liberation Serif" w:cs="Droid Sans Devanagari"/>
      <w:sz w:val="24"/>
      <w:szCs w:val="24"/>
      <w:lang w:eastAsia="zh-CN" w:bidi="hi-IN"/>
    </w:rPr>
  </w:style>
  <w:style w:type="paragraph" w:customStyle="1" w:styleId="afffd">
    <w:name w:val="Содержимое врезки"/>
    <w:basedOn w:val="a"/>
    <w:qFormat/>
    <w:rsid w:val="00B52DE3"/>
  </w:style>
  <w:style w:type="paragraph" w:customStyle="1" w:styleId="user4">
    <w:name w:val="Заголовок таблицы (user)"/>
    <w:basedOn w:val="user1"/>
    <w:qFormat/>
    <w:rsid w:val="00B52DE3"/>
    <w:pPr>
      <w:jc w:val="center"/>
    </w:pPr>
    <w:rPr>
      <w:b/>
      <w:bCs/>
    </w:rPr>
  </w:style>
  <w:style w:type="paragraph" w:customStyle="1" w:styleId="docdata1">
    <w:name w:val="docdata1"/>
    <w:basedOn w:val="a"/>
    <w:qFormat/>
    <w:rsid w:val="00B52DE3"/>
    <w:pPr>
      <w:spacing w:before="280" w:after="280" w:line="240" w:lineRule="auto"/>
    </w:pPr>
    <w:rPr>
      <w:rFonts w:ascii="Times New Roman" w:eastAsia="Times New Roman" w:hAnsi="Times New Roman" w:cs="Times New Roman"/>
      <w:sz w:val="24"/>
      <w:szCs w:val="24"/>
      <w:lang w:eastAsia="ru-RU"/>
    </w:rPr>
  </w:style>
  <w:style w:type="paragraph" w:customStyle="1" w:styleId="Default">
    <w:name w:val="Default"/>
    <w:qFormat/>
    <w:rsid w:val="00B52DE3"/>
    <w:rPr>
      <w:rFonts w:eastAsia="Arial"/>
      <w:color w:val="000000"/>
      <w:sz w:val="24"/>
      <w:szCs w:val="24"/>
      <w:lang w:eastAsia="en-US"/>
    </w:rPr>
  </w:style>
  <w:style w:type="paragraph" w:customStyle="1" w:styleId="5608">
    <w:name w:val="5608"/>
    <w:qFormat/>
    <w:rsid w:val="00B52DE3"/>
    <w:pPr>
      <w:spacing w:before="280" w:after="280"/>
    </w:pPr>
    <w:rPr>
      <w:sz w:val="24"/>
      <w:szCs w:val="24"/>
    </w:rPr>
  </w:style>
  <w:style w:type="paragraph" w:customStyle="1" w:styleId="afffe">
    <w:name w:val="Заголовок таблицы"/>
    <w:basedOn w:val="afffc"/>
    <w:qFormat/>
    <w:rsid w:val="00B52DE3"/>
    <w:pPr>
      <w:suppressLineNumbers/>
      <w:jc w:val="center"/>
    </w:pPr>
    <w:rPr>
      <w:b/>
      <w:bCs/>
    </w:rPr>
  </w:style>
  <w:style w:type="numbering" w:customStyle="1" w:styleId="affff">
    <w:name w:val="Без списка"/>
    <w:qFormat/>
    <w:rsid w:val="00B52DE3"/>
  </w:style>
  <w:style w:type="table" w:styleId="affff0">
    <w:name w:val="Table Grid"/>
    <w:uiPriority w:val="59"/>
    <w:rsid w:val="00B52D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B52DE3"/>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B52DE3"/>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FFFFF" w:themeFill="text1" w:themeFillTint="0"/>
      </w:tcPr>
    </w:tblStylePr>
    <w:tblStylePr w:type="band1Horz">
      <w:tblPr/>
      <w:tcPr>
        <w:shd w:val="clear" w:color="F2F2F2" w:fill="FFFFFF" w:themeFill="text1" w:themeFillTint="0"/>
      </w:tcPr>
    </w:tblStylePr>
  </w:style>
  <w:style w:type="table" w:customStyle="1" w:styleId="PlainTable2">
    <w:name w:val="Plain Table 2"/>
    <w:uiPriority w:val="59"/>
    <w:rsid w:val="00B52DE3"/>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B52DE3"/>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FFFFF" w:themeFill="text1" w:themeFillTint="0"/>
      </w:tcPr>
    </w:tblStylePr>
    <w:tblStylePr w:type="band1Horz">
      <w:rPr>
        <w:sz w:val="22"/>
      </w:rPr>
      <w:tblPr/>
      <w:tcPr>
        <w:shd w:val="clear" w:color="F2F2F2" w:fill="FFFFFF" w:themeFill="text1" w:themeFillTint="0"/>
      </w:tcPr>
    </w:tblStylePr>
  </w:style>
  <w:style w:type="table" w:customStyle="1" w:styleId="PlainTable4">
    <w:name w:val="Plain Table 4"/>
    <w:uiPriority w:val="99"/>
    <w:rsid w:val="00B52DE3"/>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FFFFF" w:themeFill="text1" w:themeFillTint="0"/>
      </w:tcPr>
    </w:tblStylePr>
    <w:tblStylePr w:type="band1Horz">
      <w:rPr>
        <w:sz w:val="22"/>
      </w:rPr>
      <w:tblPr/>
      <w:tcPr>
        <w:shd w:val="clear" w:color="F2F2F2" w:fill="FFFFFF" w:themeFill="text1" w:themeFillTint="0"/>
      </w:tcPr>
    </w:tblStylePr>
  </w:style>
  <w:style w:type="table" w:customStyle="1" w:styleId="PlainTable5">
    <w:name w:val="Plain Table 5"/>
    <w:uiPriority w:val="99"/>
    <w:rsid w:val="00B52DE3"/>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FFFFF" w:themeFill="text1" w:themeFillTint="0"/>
      </w:tcPr>
    </w:tblStylePr>
    <w:tblStylePr w:type="band1Horz">
      <w:rPr>
        <w:sz w:val="22"/>
      </w:rPr>
      <w:tblPr/>
      <w:tcPr>
        <w:shd w:val="clear" w:color="F2F2F2" w:fill="FFFFFF" w:themeFill="text1" w:themeFillTint="0"/>
      </w:tcPr>
    </w:tblStylePr>
  </w:style>
  <w:style w:type="table" w:customStyle="1" w:styleId="GridTable1Light">
    <w:name w:val="Grid Table 1 Light"/>
    <w:uiPriority w:val="99"/>
    <w:rsid w:val="00B52DE3"/>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uiPriority w:val="99"/>
    <w:rsid w:val="00B52DE3"/>
    <w:tblPr>
      <w:tblStyleRowBandSize w:val="1"/>
      <w:tblStyleColBandSize w:val="1"/>
      <w:tbl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insideH w:val="single" w:sz="4" w:space="0" w:color="87FC76" w:themeColor="accent1" w:themeTint="67"/>
        <w:insideV w:val="single" w:sz="4" w:space="0" w:color="87FC76" w:themeColor="accent1" w:themeTint="67"/>
      </w:tblBorders>
      <w:tblCellMar>
        <w:top w:w="0" w:type="dxa"/>
        <w:left w:w="0" w:type="dxa"/>
        <w:bottom w:w="0" w:type="dxa"/>
        <w:right w:w="0" w:type="dxa"/>
      </w:tblCellMar>
    </w:tblPr>
    <w:tblStylePr w:type="firstRow">
      <w:rPr>
        <w:b/>
      </w:rPr>
      <w:tblPr/>
      <w:tcPr>
        <w:tcBorders>
          <w:bottom w:val="single" w:sz="12" w:space="0" w:color="18A303"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18A303" w:themeColor="accent1"/>
          <w:left w:val="single" w:sz="4" w:space="0" w:color="18A303" w:themeColor="accent1"/>
          <w:bottom w:val="single" w:sz="4" w:space="0" w:color="18A303" w:themeColor="accent1"/>
          <w:right w:val="single" w:sz="4" w:space="0" w:color="18A303" w:themeColor="accent1"/>
        </w:tcBorders>
      </w:tcPr>
    </w:tblStylePr>
  </w:style>
  <w:style w:type="table" w:customStyle="1" w:styleId="GridTable1Light-Accent2">
    <w:name w:val="Grid Table 1 Light - Accent 2"/>
    <w:uiPriority w:val="99"/>
    <w:rsid w:val="00B52DE3"/>
    <w:tblPr>
      <w:tblStyleRowBandSize w:val="1"/>
      <w:tblStyleColBandSize w:val="1"/>
      <w:tbl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insideH w:val="single" w:sz="4" w:space="0" w:color="76CBFC" w:themeColor="accent2" w:themeTint="67"/>
        <w:insideV w:val="single" w:sz="4" w:space="0" w:color="76CBFC" w:themeColor="accent2" w:themeTint="67"/>
      </w:tblBorders>
      <w:tblCellMar>
        <w:top w:w="0" w:type="dxa"/>
        <w:left w:w="0" w:type="dxa"/>
        <w:bottom w:w="0" w:type="dxa"/>
        <w:right w:w="0" w:type="dxa"/>
      </w:tblCellMar>
    </w:tblPr>
    <w:tblStylePr w:type="firstRow">
      <w:rPr>
        <w:b/>
      </w:rPr>
      <w:tblPr/>
      <w:tcPr>
        <w:tcBorders>
          <w:bottom w:val="single" w:sz="12" w:space="0" w:color="0369A3"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369A3" w:themeColor="accent2"/>
          <w:left w:val="single" w:sz="4" w:space="0" w:color="0369A3" w:themeColor="accent2"/>
          <w:bottom w:val="single" w:sz="4" w:space="0" w:color="0369A3" w:themeColor="accent2"/>
          <w:right w:val="single" w:sz="4" w:space="0" w:color="0369A3" w:themeColor="accent2"/>
        </w:tcBorders>
      </w:tcPr>
    </w:tblStylePr>
  </w:style>
  <w:style w:type="table" w:customStyle="1" w:styleId="GridTable1Light-Accent3">
    <w:name w:val="Grid Table 1 Light - Accent 3"/>
    <w:uiPriority w:val="99"/>
    <w:rsid w:val="00B52DE3"/>
    <w:tblPr>
      <w:tblStyleRowBandSize w:val="1"/>
      <w:tblStyleColBandSize w:val="1"/>
      <w:tbl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insideH w:val="single" w:sz="4" w:space="0" w:color="FCA776" w:themeColor="accent3" w:themeTint="67"/>
        <w:insideV w:val="single" w:sz="4" w:space="0" w:color="FCA776" w:themeColor="accent3" w:themeTint="67"/>
      </w:tblBorders>
      <w:tblCellMar>
        <w:top w:w="0" w:type="dxa"/>
        <w:left w:w="0" w:type="dxa"/>
        <w:bottom w:w="0" w:type="dxa"/>
        <w:right w:w="0" w:type="dxa"/>
      </w:tblCellMar>
    </w:tblPr>
    <w:tblStylePr w:type="firstRow">
      <w:rPr>
        <w:b/>
      </w:rPr>
      <w:tblPr/>
      <w:tcPr>
        <w:tcBorders>
          <w:bottom w:val="single" w:sz="12" w:space="0" w:color="A33E03"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33E03" w:themeColor="accent3"/>
          <w:left w:val="single" w:sz="4" w:space="0" w:color="A33E03" w:themeColor="accent3"/>
          <w:bottom w:val="single" w:sz="4" w:space="0" w:color="A33E03" w:themeColor="accent3"/>
          <w:right w:val="single" w:sz="4" w:space="0" w:color="A33E03" w:themeColor="accent3"/>
        </w:tcBorders>
      </w:tcPr>
    </w:tblStylePr>
  </w:style>
  <w:style w:type="table" w:customStyle="1" w:styleId="GridTable1Light-Accent4">
    <w:name w:val="Grid Table 1 Light - Accent 4"/>
    <w:uiPriority w:val="99"/>
    <w:rsid w:val="00B52DE3"/>
    <w:tblPr>
      <w:tblStyleRowBandSize w:val="1"/>
      <w:tblStyleColBandSize w:val="1"/>
      <w:tbl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insideH w:val="single" w:sz="4" w:space="0" w:color="EA76FC" w:themeColor="accent4" w:themeTint="67"/>
        <w:insideV w:val="single" w:sz="4" w:space="0" w:color="EA76FC" w:themeColor="accent4" w:themeTint="67"/>
      </w:tblBorders>
      <w:tblCellMar>
        <w:top w:w="0" w:type="dxa"/>
        <w:left w:w="0" w:type="dxa"/>
        <w:bottom w:w="0" w:type="dxa"/>
        <w:right w:w="0" w:type="dxa"/>
      </w:tblCellMar>
    </w:tblPr>
    <w:tblStylePr w:type="firstRow">
      <w:rPr>
        <w:b/>
      </w:rPr>
      <w:tblPr/>
      <w:tcPr>
        <w:tcBorders>
          <w:bottom w:val="single" w:sz="12" w:space="0" w:color="8E03A3"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E03A3" w:themeColor="accent4"/>
          <w:left w:val="single" w:sz="4" w:space="0" w:color="8E03A3" w:themeColor="accent4"/>
          <w:bottom w:val="single" w:sz="4" w:space="0" w:color="8E03A3" w:themeColor="accent4"/>
          <w:right w:val="single" w:sz="4" w:space="0" w:color="8E03A3" w:themeColor="accent4"/>
        </w:tcBorders>
      </w:tcPr>
    </w:tblStylePr>
  </w:style>
  <w:style w:type="table" w:customStyle="1" w:styleId="GridTable1Light-Accent5">
    <w:name w:val="Grid Table 1 Light - Accent 5"/>
    <w:uiPriority w:val="99"/>
    <w:rsid w:val="00B52DE3"/>
    <w:tblPr>
      <w:tblStyleRowBandSize w:val="1"/>
      <w:tblStyleColBandSize w:val="1"/>
      <w:tbl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insideH w:val="single" w:sz="4" w:space="0" w:color="FFE282" w:themeColor="accent5" w:themeTint="67"/>
        <w:insideV w:val="single" w:sz="4" w:space="0" w:color="FFE282" w:themeColor="accent5" w:themeTint="67"/>
      </w:tblBorders>
      <w:tblCellMar>
        <w:top w:w="0" w:type="dxa"/>
        <w:left w:w="0" w:type="dxa"/>
        <w:bottom w:w="0" w:type="dxa"/>
        <w:right w:w="0" w:type="dxa"/>
      </w:tblCellMar>
    </w:tblPr>
    <w:tblStylePr w:type="firstRow">
      <w:rPr>
        <w:b/>
      </w:rPr>
      <w:tblPr/>
      <w:tcPr>
        <w:tcBorders>
          <w:bottom w:val="single" w:sz="12" w:space="0" w:color="C99C00"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99C00" w:themeColor="accent5"/>
          <w:left w:val="single" w:sz="4" w:space="0" w:color="C99C00" w:themeColor="accent5"/>
          <w:bottom w:val="single" w:sz="4" w:space="0" w:color="C99C00" w:themeColor="accent5"/>
          <w:right w:val="single" w:sz="4" w:space="0" w:color="C99C00" w:themeColor="accent5"/>
        </w:tcBorders>
      </w:tcPr>
    </w:tblStylePr>
  </w:style>
  <w:style w:type="table" w:customStyle="1" w:styleId="GridTable1Light-Accent6">
    <w:name w:val="Grid Table 1 Light - Accent 6"/>
    <w:uiPriority w:val="99"/>
    <w:rsid w:val="00B52DE3"/>
    <w:tblPr>
      <w:tblStyleRowBandSize w:val="1"/>
      <w:tblStyleColBandSize w:val="1"/>
      <w:tbl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insideH w:val="single" w:sz="4" w:space="0" w:color="F09D9C" w:themeColor="accent6" w:themeTint="67"/>
        <w:insideV w:val="single" w:sz="4" w:space="0" w:color="F09D9C" w:themeColor="accent6" w:themeTint="67"/>
      </w:tblBorders>
      <w:tblCellMar>
        <w:top w:w="0" w:type="dxa"/>
        <w:left w:w="0" w:type="dxa"/>
        <w:bottom w:w="0" w:type="dxa"/>
        <w:right w:w="0" w:type="dxa"/>
      </w:tblCellMar>
    </w:tblPr>
    <w:tblStylePr w:type="firstRow">
      <w:rPr>
        <w:b/>
      </w:rPr>
      <w:tblPr/>
      <w:tcPr>
        <w:tcBorders>
          <w:bottom w:val="single" w:sz="12" w:space="0" w:color="C9211E"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9211E" w:themeColor="accent6"/>
          <w:left w:val="single" w:sz="4" w:space="0" w:color="C9211E" w:themeColor="accent6"/>
          <w:bottom w:val="single" w:sz="4" w:space="0" w:color="C9211E" w:themeColor="accent6"/>
          <w:right w:val="single" w:sz="4" w:space="0" w:color="C9211E" w:themeColor="accent6"/>
        </w:tcBorders>
      </w:tcPr>
    </w:tblStylePr>
  </w:style>
  <w:style w:type="table" w:customStyle="1" w:styleId="GridTable2">
    <w:name w:val="Grid Table 2"/>
    <w:uiPriority w:val="99"/>
    <w:rsid w:val="00B52DE3"/>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uiPriority w:val="99"/>
    <w:rsid w:val="00B52DE3"/>
    <w:tblPr>
      <w:tblStyleRowBandSize w:val="1"/>
      <w:tblStyleColBandSize w:val="1"/>
      <w:tblBorders>
        <w:bottom w:val="single" w:sz="4" w:space="0" w:color="1BBE03" w:themeColor="accent1" w:themeTint="EA"/>
        <w:insideH w:val="single" w:sz="4" w:space="0" w:color="1BBE03" w:themeColor="accent1" w:themeTint="EA"/>
        <w:insideV w:val="single" w:sz="4" w:space="0" w:color="1BBE03"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18A303" w:themeColor="accent1"/>
          <w:right w:val="none" w:sz="4" w:space="0" w:color="000000"/>
        </w:tcBorders>
        <w:shd w:val="clear" w:color="FFFFFF" w:fill="auto"/>
      </w:tcPr>
    </w:tblStylePr>
    <w:tblStylePr w:type="lastRow">
      <w:rPr>
        <w:b/>
      </w:rPr>
      <w:tblPr/>
      <w:tcPr>
        <w:tcBorders>
          <w:top w:val="single" w:sz="4" w:space="0" w:color="18A303"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2FDB9" w:fill="C2FDB9" w:themeFill="accent1" w:themeFillTint="34"/>
      </w:tcPr>
    </w:tblStylePr>
    <w:tblStylePr w:type="band1Horz">
      <w:rPr>
        <w:sz w:val="22"/>
      </w:rPr>
      <w:tblPr/>
      <w:tcPr>
        <w:shd w:val="clear" w:color="C2FDB9" w:fill="C2FDB9" w:themeFill="accent1" w:themeFillTint="34"/>
      </w:tcPr>
    </w:tblStylePr>
  </w:style>
  <w:style w:type="table" w:customStyle="1" w:styleId="GridTable2-Accent2">
    <w:name w:val="Grid Table 2 - Accent 2"/>
    <w:uiPriority w:val="99"/>
    <w:rsid w:val="00B52DE3"/>
    <w:tblPr>
      <w:tblStyleRowBandSize w:val="1"/>
      <w:tblStyleColBandSize w:val="1"/>
      <w:tblBorders>
        <w:bottom w:val="single" w:sz="4" w:space="0" w:color="36B3FB" w:themeColor="accent2" w:themeTint="97"/>
        <w:insideH w:val="single" w:sz="4" w:space="0" w:color="36B3FB" w:themeColor="accent2" w:themeTint="97"/>
        <w:insideV w:val="single" w:sz="4" w:space="0" w:color="36B3FB"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369A3" w:themeColor="accent2"/>
          <w:right w:val="none" w:sz="4" w:space="0" w:color="000000"/>
        </w:tcBorders>
        <w:shd w:val="clear" w:color="FFFFFF" w:fill="auto"/>
      </w:tcPr>
    </w:tblStylePr>
    <w:tblStylePr w:type="lastRow">
      <w:rPr>
        <w:b/>
      </w:rPr>
      <w:tblPr/>
      <w:tcPr>
        <w:tcBorders>
          <w:top w:val="single" w:sz="4" w:space="0" w:color="0369A3"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BCE6FD" w:fill="BCE6FD" w:themeFill="accent2" w:themeFillTint="32"/>
      </w:tcPr>
    </w:tblStylePr>
    <w:tblStylePr w:type="band1Horz">
      <w:rPr>
        <w:sz w:val="22"/>
      </w:rPr>
      <w:tblPr/>
      <w:tcPr>
        <w:shd w:val="clear" w:color="BCE6FD" w:fill="BCE6FD" w:themeFill="accent2" w:themeFillTint="32"/>
      </w:tcPr>
    </w:tblStylePr>
  </w:style>
  <w:style w:type="table" w:customStyle="1" w:styleId="GridTable2-Accent3">
    <w:name w:val="Grid Table 2 - Accent 3"/>
    <w:uiPriority w:val="99"/>
    <w:rsid w:val="00B52DE3"/>
    <w:tblPr>
      <w:tblStyleRowBandSize w:val="1"/>
      <w:tblStyleColBandSize w:val="1"/>
      <w:tblBorders>
        <w:bottom w:val="single" w:sz="4" w:space="0" w:color="A43E03" w:themeColor="accent3" w:themeTint="FE"/>
        <w:insideH w:val="single" w:sz="4" w:space="0" w:color="A43E03" w:themeColor="accent3" w:themeTint="FE"/>
        <w:insideV w:val="single" w:sz="4" w:space="0" w:color="A43E03"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A33E03" w:themeColor="accent3"/>
          <w:right w:val="none" w:sz="4" w:space="0" w:color="000000"/>
        </w:tcBorders>
        <w:shd w:val="clear" w:color="FFFFFF" w:fill="auto"/>
      </w:tcPr>
    </w:tblStylePr>
    <w:tblStylePr w:type="lastRow">
      <w:rPr>
        <w:b/>
      </w:rPr>
      <w:tblPr/>
      <w:tcPr>
        <w:tcBorders>
          <w:top w:val="single" w:sz="4" w:space="0" w:color="A33E03"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DD2B9" w:fill="FDD2B9" w:themeFill="accent3" w:themeFillTint="34"/>
      </w:tcPr>
    </w:tblStylePr>
    <w:tblStylePr w:type="band1Horz">
      <w:rPr>
        <w:sz w:val="22"/>
      </w:rPr>
      <w:tblPr/>
      <w:tcPr>
        <w:shd w:val="clear" w:color="FDD2B9" w:fill="FDD2B9" w:themeFill="accent3" w:themeFillTint="34"/>
      </w:tcPr>
    </w:tblStylePr>
  </w:style>
  <w:style w:type="table" w:customStyle="1" w:styleId="GridTable2-Accent4">
    <w:name w:val="Grid Table 2 - Accent 4"/>
    <w:uiPriority w:val="99"/>
    <w:rsid w:val="00B52DE3"/>
    <w:tblPr>
      <w:tblStyleRowBandSize w:val="1"/>
      <w:tblStyleColBandSize w:val="1"/>
      <w:tblBorders>
        <w:bottom w:val="single" w:sz="4" w:space="0" w:color="E032FB" w:themeColor="accent4" w:themeTint="9A"/>
        <w:insideH w:val="single" w:sz="4" w:space="0" w:color="E032FB" w:themeColor="accent4" w:themeTint="9A"/>
        <w:insideV w:val="single" w:sz="4" w:space="0" w:color="E032FB"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8E03A3" w:themeColor="accent4"/>
          <w:right w:val="none" w:sz="4" w:space="0" w:color="000000"/>
        </w:tcBorders>
        <w:shd w:val="clear" w:color="FFFFFF" w:fill="auto"/>
      </w:tcPr>
    </w:tblStylePr>
    <w:tblStylePr w:type="lastRow">
      <w:rPr>
        <w:b/>
      </w:rPr>
      <w:tblPr/>
      <w:tcPr>
        <w:tcBorders>
          <w:top w:val="single" w:sz="4" w:space="0" w:color="8E03A3"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4B9FD" w:fill="F4B9FD" w:themeFill="accent4" w:themeFillTint="34"/>
      </w:tcPr>
    </w:tblStylePr>
    <w:tblStylePr w:type="band1Horz">
      <w:rPr>
        <w:sz w:val="22"/>
      </w:rPr>
      <w:tblPr/>
      <w:tcPr>
        <w:shd w:val="clear" w:color="F4B9FD" w:fill="F4B9FD" w:themeFill="accent4" w:themeFillTint="34"/>
      </w:tcPr>
    </w:tblStylePr>
  </w:style>
  <w:style w:type="table" w:customStyle="1" w:styleId="GridTable2-Accent5">
    <w:name w:val="Grid Table 2 - Accent 5"/>
    <w:uiPriority w:val="99"/>
    <w:rsid w:val="00B52DE3"/>
    <w:tblPr>
      <w:tblStyleRowBandSize w:val="1"/>
      <w:tblStyleColBandSize w:val="1"/>
      <w:tblBorders>
        <w:bottom w:val="single" w:sz="4" w:space="0" w:color="C99C00" w:themeColor="accent5"/>
        <w:insideH w:val="single" w:sz="4" w:space="0" w:color="C99C00" w:themeColor="accent5"/>
        <w:insideV w:val="single" w:sz="4" w:space="0" w:color="C99C00"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C99C00" w:themeColor="accent5"/>
          <w:right w:val="none" w:sz="4" w:space="0" w:color="000000"/>
        </w:tcBorders>
        <w:shd w:val="clear" w:color="FFFFFF" w:fill="auto"/>
      </w:tcPr>
    </w:tblStylePr>
    <w:tblStylePr w:type="lastRow">
      <w:rPr>
        <w:b/>
      </w:rPr>
      <w:tblPr/>
      <w:tcPr>
        <w:tcBorders>
          <w:top w:val="single" w:sz="4" w:space="0" w:color="C99C00"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0BF" w:fill="FFF0BF" w:themeFill="accent5" w:themeFillTint="34"/>
      </w:tcPr>
    </w:tblStylePr>
    <w:tblStylePr w:type="band1Horz">
      <w:rPr>
        <w:sz w:val="22"/>
      </w:rPr>
      <w:tblPr/>
      <w:tcPr>
        <w:shd w:val="clear" w:color="FFF0BF" w:fill="FFF0BF" w:themeFill="accent5" w:themeFillTint="34"/>
      </w:tcPr>
    </w:tblStylePr>
  </w:style>
  <w:style w:type="table" w:customStyle="1" w:styleId="GridTable2-Accent6">
    <w:name w:val="Grid Table 2 - Accent 6"/>
    <w:uiPriority w:val="99"/>
    <w:rsid w:val="00B52DE3"/>
    <w:tblPr>
      <w:tblStyleRowBandSize w:val="1"/>
      <w:tblStyleColBandSize w:val="1"/>
      <w:tblBorders>
        <w:bottom w:val="single" w:sz="4" w:space="0" w:color="C9211E" w:themeColor="accent6"/>
        <w:insideH w:val="single" w:sz="4" w:space="0" w:color="C9211E" w:themeColor="accent6"/>
        <w:insideV w:val="single" w:sz="4" w:space="0" w:color="C9211E"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C9211E" w:themeColor="accent6"/>
          <w:right w:val="none" w:sz="4" w:space="0" w:color="000000"/>
        </w:tcBorders>
        <w:shd w:val="clear" w:color="FFFFFF" w:fill="auto"/>
      </w:tcPr>
    </w:tblStylePr>
    <w:tblStylePr w:type="lastRow">
      <w:rPr>
        <w:b/>
      </w:rPr>
      <w:tblPr/>
      <w:tcPr>
        <w:tcBorders>
          <w:top w:val="single" w:sz="4" w:space="0" w:color="C9211E"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7CDCD" w:fill="F7CDCD" w:themeFill="accent6" w:themeFillTint="34"/>
      </w:tcPr>
    </w:tblStylePr>
    <w:tblStylePr w:type="band1Horz">
      <w:rPr>
        <w:sz w:val="22"/>
      </w:rPr>
      <w:tblPr/>
      <w:tcPr>
        <w:shd w:val="clear" w:color="F7CDCD" w:fill="F7CDCD" w:themeFill="accent6" w:themeFillTint="34"/>
      </w:tcPr>
    </w:tblStylePr>
  </w:style>
  <w:style w:type="table" w:customStyle="1" w:styleId="GridTable3">
    <w:name w:val="Grid Table 3"/>
    <w:uiPriority w:val="99"/>
    <w:rsid w:val="00B52DE3"/>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uiPriority w:val="99"/>
    <w:rsid w:val="00B52DE3"/>
    <w:tblPr>
      <w:tblStyleRowBandSize w:val="1"/>
      <w:tblStyleColBandSize w:val="1"/>
      <w:tblBorders>
        <w:bottom w:val="single" w:sz="4" w:space="0" w:color="1BBE03" w:themeColor="accent1" w:themeTint="EA"/>
        <w:insideH w:val="single" w:sz="4" w:space="0" w:color="1BBE03" w:themeColor="accent1" w:themeTint="EA"/>
        <w:insideV w:val="single" w:sz="4" w:space="0" w:color="1BBE03"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2FDB9" w:fill="C2FDB9" w:themeFill="accent1" w:themeFillTint="34"/>
      </w:tcPr>
    </w:tblStylePr>
    <w:tblStylePr w:type="band1Horz">
      <w:rPr>
        <w:sz w:val="22"/>
      </w:rPr>
      <w:tblPr/>
      <w:tcPr>
        <w:shd w:val="clear" w:color="C2FDB9" w:fill="C2FDB9" w:themeFill="accent1" w:themeFillTint="34"/>
      </w:tcPr>
    </w:tblStylePr>
  </w:style>
  <w:style w:type="table" w:customStyle="1" w:styleId="GridTable3-Accent2">
    <w:name w:val="Grid Table 3 - Accent 2"/>
    <w:uiPriority w:val="99"/>
    <w:rsid w:val="00B52DE3"/>
    <w:tblPr>
      <w:tblStyleRowBandSize w:val="1"/>
      <w:tblStyleColBandSize w:val="1"/>
      <w:tblBorders>
        <w:bottom w:val="single" w:sz="4" w:space="0" w:color="36B3FB" w:themeColor="accent2" w:themeTint="97"/>
        <w:insideH w:val="single" w:sz="4" w:space="0" w:color="36B3FB" w:themeColor="accent2" w:themeTint="97"/>
        <w:insideV w:val="single" w:sz="4" w:space="0" w:color="36B3FB"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BCE6FD" w:fill="BCE6FD" w:themeFill="accent2" w:themeFillTint="32"/>
      </w:tcPr>
    </w:tblStylePr>
    <w:tblStylePr w:type="band1Horz">
      <w:rPr>
        <w:sz w:val="22"/>
      </w:rPr>
      <w:tblPr/>
      <w:tcPr>
        <w:shd w:val="clear" w:color="BCE6FD" w:fill="BCE6FD" w:themeFill="accent2" w:themeFillTint="32"/>
      </w:tcPr>
    </w:tblStylePr>
  </w:style>
  <w:style w:type="table" w:customStyle="1" w:styleId="GridTable3-Accent3">
    <w:name w:val="Grid Table 3 - Accent 3"/>
    <w:uiPriority w:val="99"/>
    <w:rsid w:val="00B52DE3"/>
    <w:tblPr>
      <w:tblStyleRowBandSize w:val="1"/>
      <w:tblStyleColBandSize w:val="1"/>
      <w:tblBorders>
        <w:bottom w:val="single" w:sz="4" w:space="0" w:color="A43E03" w:themeColor="accent3" w:themeTint="FE"/>
        <w:insideH w:val="single" w:sz="4" w:space="0" w:color="A43E03" w:themeColor="accent3" w:themeTint="FE"/>
        <w:insideV w:val="single" w:sz="4" w:space="0" w:color="A43E03"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DD2B9" w:fill="FDD2B9" w:themeFill="accent3" w:themeFillTint="34"/>
      </w:tcPr>
    </w:tblStylePr>
    <w:tblStylePr w:type="band1Horz">
      <w:rPr>
        <w:sz w:val="22"/>
      </w:rPr>
      <w:tblPr/>
      <w:tcPr>
        <w:shd w:val="clear" w:color="FDD2B9" w:fill="FDD2B9" w:themeFill="accent3" w:themeFillTint="34"/>
      </w:tcPr>
    </w:tblStylePr>
  </w:style>
  <w:style w:type="table" w:customStyle="1" w:styleId="GridTable3-Accent4">
    <w:name w:val="Grid Table 3 - Accent 4"/>
    <w:uiPriority w:val="99"/>
    <w:rsid w:val="00B52DE3"/>
    <w:tblPr>
      <w:tblStyleRowBandSize w:val="1"/>
      <w:tblStyleColBandSize w:val="1"/>
      <w:tblBorders>
        <w:bottom w:val="single" w:sz="4" w:space="0" w:color="E032FB" w:themeColor="accent4" w:themeTint="9A"/>
        <w:insideH w:val="single" w:sz="4" w:space="0" w:color="E032FB" w:themeColor="accent4" w:themeTint="9A"/>
        <w:insideV w:val="single" w:sz="4" w:space="0" w:color="E032FB"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4B9FD" w:fill="F4B9FD" w:themeFill="accent4" w:themeFillTint="34"/>
      </w:tcPr>
    </w:tblStylePr>
    <w:tblStylePr w:type="band1Horz">
      <w:rPr>
        <w:sz w:val="22"/>
      </w:rPr>
      <w:tblPr/>
      <w:tcPr>
        <w:shd w:val="clear" w:color="F4B9FD" w:fill="F4B9FD" w:themeFill="accent4" w:themeFillTint="34"/>
      </w:tcPr>
    </w:tblStylePr>
  </w:style>
  <w:style w:type="table" w:customStyle="1" w:styleId="GridTable3-Accent5">
    <w:name w:val="Grid Table 3 - Accent 5"/>
    <w:uiPriority w:val="99"/>
    <w:rsid w:val="00B52DE3"/>
    <w:tblPr>
      <w:tblStyleRowBandSize w:val="1"/>
      <w:tblStyleColBandSize w:val="1"/>
      <w:tblBorders>
        <w:bottom w:val="single" w:sz="4" w:space="0" w:color="C99C00" w:themeColor="accent5"/>
        <w:insideH w:val="single" w:sz="4" w:space="0" w:color="C99C00" w:themeColor="accent5"/>
        <w:insideV w:val="single" w:sz="4" w:space="0" w:color="C99C00"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0BF" w:fill="FFF0BF" w:themeFill="accent5" w:themeFillTint="34"/>
      </w:tcPr>
    </w:tblStylePr>
    <w:tblStylePr w:type="band1Horz">
      <w:rPr>
        <w:sz w:val="22"/>
      </w:rPr>
      <w:tblPr/>
      <w:tcPr>
        <w:shd w:val="clear" w:color="FFF0BF" w:fill="FFF0BF" w:themeFill="accent5" w:themeFillTint="34"/>
      </w:tcPr>
    </w:tblStylePr>
  </w:style>
  <w:style w:type="table" w:customStyle="1" w:styleId="GridTable3-Accent6">
    <w:name w:val="Grid Table 3 - Accent 6"/>
    <w:uiPriority w:val="99"/>
    <w:rsid w:val="00B52DE3"/>
    <w:tblPr>
      <w:tblStyleRowBandSize w:val="1"/>
      <w:tblStyleColBandSize w:val="1"/>
      <w:tblBorders>
        <w:bottom w:val="single" w:sz="4" w:space="0" w:color="C9211E" w:themeColor="accent6"/>
        <w:insideH w:val="single" w:sz="4" w:space="0" w:color="C9211E" w:themeColor="accent6"/>
        <w:insideV w:val="single" w:sz="4" w:space="0" w:color="C9211E"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7CDCD" w:fill="F7CDCD" w:themeFill="accent6" w:themeFillTint="34"/>
      </w:tcPr>
    </w:tblStylePr>
    <w:tblStylePr w:type="band1Horz">
      <w:rPr>
        <w:sz w:val="22"/>
      </w:rPr>
      <w:tblPr/>
      <w:tcPr>
        <w:shd w:val="clear" w:color="F7CDCD" w:fill="F7CDCD" w:themeFill="accent6" w:themeFillTint="34"/>
      </w:tcPr>
    </w:tblStylePr>
  </w:style>
  <w:style w:type="table" w:customStyle="1" w:styleId="GridTable4">
    <w:name w:val="Grid Table 4"/>
    <w:uiPriority w:val="59"/>
    <w:rsid w:val="00B52DE3"/>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uiPriority w:val="59"/>
    <w:rsid w:val="00B52DE3"/>
    <w:tblPr>
      <w:tblStyleRowBandSize w:val="1"/>
      <w:tblStyleColBandSize w:val="1"/>
      <w:tblBorders>
        <w:top w:val="single" w:sz="4" w:space="0" w:color="58FB40" w:themeColor="accent1" w:themeTint="90"/>
        <w:left w:val="single" w:sz="4" w:space="0" w:color="58FB40" w:themeColor="accent1" w:themeTint="90"/>
        <w:bottom w:val="single" w:sz="4" w:space="0" w:color="58FB40" w:themeColor="accent1" w:themeTint="90"/>
        <w:right w:val="single" w:sz="4" w:space="0" w:color="58FB40" w:themeColor="accent1" w:themeTint="90"/>
        <w:insideH w:val="single" w:sz="4" w:space="0" w:color="58FB40" w:themeColor="accent1" w:themeTint="90"/>
        <w:insideV w:val="single" w:sz="4" w:space="0" w:color="58FB40" w:themeColor="accent1" w:themeTint="90"/>
      </w:tblBorders>
      <w:tblCellMar>
        <w:top w:w="0" w:type="dxa"/>
        <w:left w:w="0" w:type="dxa"/>
        <w:bottom w:w="0" w:type="dxa"/>
        <w:right w:w="0" w:type="dxa"/>
      </w:tblCellMar>
    </w:tblPr>
    <w:tblStylePr w:type="firstRow">
      <w:rPr>
        <w:b/>
        <w:sz w:val="22"/>
      </w:rPr>
      <w:tblPr/>
      <w:tcPr>
        <w:tcBorders>
          <w:top w:val="single" w:sz="4" w:space="0" w:color="18A303" w:themeColor="accent1"/>
          <w:left w:val="single" w:sz="4" w:space="0" w:color="18A303" w:themeColor="accent1"/>
          <w:bottom w:val="single" w:sz="4" w:space="0" w:color="18A303" w:themeColor="accent1"/>
          <w:right w:val="single" w:sz="4" w:space="0" w:color="18A303" w:themeColor="accent1"/>
        </w:tcBorders>
        <w:shd w:val="clear" w:color="1BBE03" w:fill="1BBE03" w:themeFill="accent1" w:themeFillTint="EA"/>
      </w:tcPr>
    </w:tblStylePr>
    <w:tblStylePr w:type="lastRow">
      <w:rPr>
        <w:b/>
      </w:rPr>
      <w:tblPr/>
      <w:tcPr>
        <w:tcBorders>
          <w:top w:val="single" w:sz="4" w:space="0" w:color="18A303" w:themeColor="accent1"/>
        </w:tcBorders>
      </w:tcPr>
    </w:tblStylePr>
    <w:tblStylePr w:type="firstCol">
      <w:rPr>
        <w:b/>
      </w:rPr>
    </w:tblStylePr>
    <w:tblStylePr w:type="lastCol">
      <w:rPr>
        <w:b/>
      </w:rPr>
    </w:tblStylePr>
    <w:tblStylePr w:type="band1Vert">
      <w:rPr>
        <w:sz w:val="22"/>
      </w:rPr>
      <w:tblPr/>
      <w:tcPr>
        <w:shd w:val="clear" w:color="C4FDBC" w:fill="C4FDBC" w:themeFill="accent1" w:themeFillTint="32"/>
      </w:tcPr>
    </w:tblStylePr>
    <w:tblStylePr w:type="band1Horz">
      <w:rPr>
        <w:sz w:val="22"/>
      </w:rPr>
      <w:tblPr/>
      <w:tcPr>
        <w:shd w:val="clear" w:color="C4FDBC" w:fill="C4FDBC" w:themeFill="accent1" w:themeFillTint="32"/>
      </w:tcPr>
    </w:tblStylePr>
  </w:style>
  <w:style w:type="table" w:customStyle="1" w:styleId="GridTable4-Accent2">
    <w:name w:val="Grid Table 4 - Accent 2"/>
    <w:uiPriority w:val="59"/>
    <w:rsid w:val="00B52DE3"/>
    <w:tblPr>
      <w:tblStyleRowBandSize w:val="1"/>
      <w:tblStyleColBandSize w:val="1"/>
      <w:tblBorders>
        <w:top w:val="single" w:sz="4" w:space="0" w:color="40B7FB" w:themeColor="accent2" w:themeTint="90"/>
        <w:left w:val="single" w:sz="4" w:space="0" w:color="40B7FB" w:themeColor="accent2" w:themeTint="90"/>
        <w:bottom w:val="single" w:sz="4" w:space="0" w:color="40B7FB" w:themeColor="accent2" w:themeTint="90"/>
        <w:right w:val="single" w:sz="4" w:space="0" w:color="40B7FB" w:themeColor="accent2" w:themeTint="90"/>
        <w:insideH w:val="single" w:sz="4" w:space="0" w:color="40B7FB" w:themeColor="accent2" w:themeTint="90"/>
        <w:insideV w:val="single" w:sz="4" w:space="0" w:color="40B7FB" w:themeColor="accent2" w:themeTint="90"/>
      </w:tblBorders>
      <w:tblCellMar>
        <w:top w:w="0" w:type="dxa"/>
        <w:left w:w="0" w:type="dxa"/>
        <w:bottom w:w="0" w:type="dxa"/>
        <w:right w:w="0" w:type="dxa"/>
      </w:tblCellMar>
    </w:tblPr>
    <w:tblStylePr w:type="firstRow">
      <w:rPr>
        <w:b/>
        <w:sz w:val="22"/>
      </w:rPr>
      <w:tblPr/>
      <w:tcPr>
        <w:tcBorders>
          <w:top w:val="single" w:sz="4" w:space="0" w:color="0369A3" w:themeColor="accent2"/>
          <w:left w:val="single" w:sz="4" w:space="0" w:color="0369A3" w:themeColor="accent2"/>
          <w:bottom w:val="single" w:sz="4" w:space="0" w:color="0369A3" w:themeColor="accent2"/>
          <w:right w:val="single" w:sz="4" w:space="0" w:color="0369A3" w:themeColor="accent2"/>
        </w:tcBorders>
        <w:shd w:val="clear" w:color="36B3FB" w:fill="36B3FB" w:themeFill="accent2" w:themeFillTint="97"/>
      </w:tcPr>
    </w:tblStylePr>
    <w:tblStylePr w:type="lastRow">
      <w:rPr>
        <w:b/>
      </w:rPr>
      <w:tblPr/>
      <w:tcPr>
        <w:tcBorders>
          <w:top w:val="single" w:sz="4" w:space="0" w:color="0369A3" w:themeColor="accent2"/>
        </w:tcBorders>
      </w:tcPr>
    </w:tblStylePr>
    <w:tblStylePr w:type="firstCol">
      <w:rPr>
        <w:b/>
      </w:rPr>
    </w:tblStylePr>
    <w:tblStylePr w:type="lastCol">
      <w:rPr>
        <w:b/>
      </w:rPr>
    </w:tblStylePr>
    <w:tblStylePr w:type="band1Vert">
      <w:rPr>
        <w:sz w:val="22"/>
      </w:rPr>
      <w:tblPr/>
      <w:tcPr>
        <w:shd w:val="clear" w:color="BCE6FD" w:fill="BCE6FD" w:themeFill="accent2" w:themeFillTint="32"/>
      </w:tcPr>
    </w:tblStylePr>
    <w:tblStylePr w:type="band1Horz">
      <w:rPr>
        <w:sz w:val="22"/>
      </w:rPr>
      <w:tblPr/>
      <w:tcPr>
        <w:shd w:val="clear" w:color="BCE6FD" w:fill="BCE6FD" w:themeFill="accent2" w:themeFillTint="32"/>
      </w:tcPr>
    </w:tblStylePr>
  </w:style>
  <w:style w:type="table" w:customStyle="1" w:styleId="GridTable4-Accent3">
    <w:name w:val="Grid Table 4 - Accent 3"/>
    <w:uiPriority w:val="59"/>
    <w:rsid w:val="00B52DE3"/>
    <w:tblPr>
      <w:tblStyleRowBandSize w:val="1"/>
      <w:tblStyleColBandSize w:val="1"/>
      <w:tblBorders>
        <w:top w:val="single" w:sz="4" w:space="0" w:color="FB8540" w:themeColor="accent3" w:themeTint="90"/>
        <w:left w:val="single" w:sz="4" w:space="0" w:color="FB8540" w:themeColor="accent3" w:themeTint="90"/>
        <w:bottom w:val="single" w:sz="4" w:space="0" w:color="FB8540" w:themeColor="accent3" w:themeTint="90"/>
        <w:right w:val="single" w:sz="4" w:space="0" w:color="FB8540" w:themeColor="accent3" w:themeTint="90"/>
        <w:insideH w:val="single" w:sz="4" w:space="0" w:color="FB8540" w:themeColor="accent3" w:themeTint="90"/>
        <w:insideV w:val="single" w:sz="4" w:space="0" w:color="FB8540" w:themeColor="accent3" w:themeTint="90"/>
      </w:tblBorders>
      <w:tblCellMar>
        <w:top w:w="0" w:type="dxa"/>
        <w:left w:w="0" w:type="dxa"/>
        <w:bottom w:w="0" w:type="dxa"/>
        <w:right w:w="0" w:type="dxa"/>
      </w:tblCellMar>
    </w:tblPr>
    <w:tblStylePr w:type="firstRow">
      <w:rPr>
        <w:b/>
        <w:sz w:val="22"/>
      </w:rPr>
      <w:tblPr/>
      <w:tcPr>
        <w:tcBorders>
          <w:top w:val="single" w:sz="4" w:space="0" w:color="A33E03" w:themeColor="accent3"/>
          <w:left w:val="single" w:sz="4" w:space="0" w:color="A33E03" w:themeColor="accent3"/>
          <w:bottom w:val="single" w:sz="4" w:space="0" w:color="A33E03" w:themeColor="accent3"/>
          <w:right w:val="single" w:sz="4" w:space="0" w:color="A33E03" w:themeColor="accent3"/>
        </w:tcBorders>
        <w:shd w:val="clear" w:color="A43E03" w:fill="A43E03" w:themeFill="accent3" w:themeFillTint="FE"/>
      </w:tcPr>
    </w:tblStylePr>
    <w:tblStylePr w:type="lastRow">
      <w:rPr>
        <w:b/>
      </w:rPr>
      <w:tblPr/>
      <w:tcPr>
        <w:tcBorders>
          <w:top w:val="single" w:sz="4" w:space="0" w:color="A33E03" w:themeColor="accent3"/>
        </w:tcBorders>
      </w:tcPr>
    </w:tblStylePr>
    <w:tblStylePr w:type="firstCol">
      <w:rPr>
        <w:b/>
      </w:rPr>
    </w:tblStylePr>
    <w:tblStylePr w:type="lastCol">
      <w:rPr>
        <w:b/>
      </w:rPr>
    </w:tblStylePr>
    <w:tblStylePr w:type="band1Vert">
      <w:rPr>
        <w:sz w:val="22"/>
      </w:rPr>
      <w:tblPr/>
      <w:tcPr>
        <w:shd w:val="clear" w:color="FDD2B9" w:fill="FDD2B9" w:themeFill="accent3" w:themeFillTint="34"/>
      </w:tcPr>
    </w:tblStylePr>
    <w:tblStylePr w:type="band1Horz">
      <w:rPr>
        <w:sz w:val="22"/>
      </w:rPr>
      <w:tblPr/>
      <w:tcPr>
        <w:shd w:val="clear" w:color="FDD2B9" w:fill="FDD2B9" w:themeFill="accent3" w:themeFillTint="34"/>
      </w:tcPr>
    </w:tblStylePr>
  </w:style>
  <w:style w:type="table" w:customStyle="1" w:styleId="GridTable4-Accent4">
    <w:name w:val="Grid Table 4 - Accent 4"/>
    <w:uiPriority w:val="59"/>
    <w:rsid w:val="00B52DE3"/>
    <w:tblPr>
      <w:tblStyleRowBandSize w:val="1"/>
      <w:tblStyleColBandSize w:val="1"/>
      <w:tblBorders>
        <w:top w:val="single" w:sz="4" w:space="0" w:color="E240FB" w:themeColor="accent4" w:themeTint="90"/>
        <w:left w:val="single" w:sz="4" w:space="0" w:color="E240FB" w:themeColor="accent4" w:themeTint="90"/>
        <w:bottom w:val="single" w:sz="4" w:space="0" w:color="E240FB" w:themeColor="accent4" w:themeTint="90"/>
        <w:right w:val="single" w:sz="4" w:space="0" w:color="E240FB" w:themeColor="accent4" w:themeTint="90"/>
        <w:insideH w:val="single" w:sz="4" w:space="0" w:color="E240FB" w:themeColor="accent4" w:themeTint="90"/>
        <w:insideV w:val="single" w:sz="4" w:space="0" w:color="E240FB" w:themeColor="accent4" w:themeTint="90"/>
      </w:tblBorders>
      <w:tblCellMar>
        <w:top w:w="0" w:type="dxa"/>
        <w:left w:w="0" w:type="dxa"/>
        <w:bottom w:w="0" w:type="dxa"/>
        <w:right w:w="0" w:type="dxa"/>
      </w:tblCellMar>
    </w:tblPr>
    <w:tblStylePr w:type="firstRow">
      <w:rPr>
        <w:b/>
        <w:sz w:val="22"/>
      </w:rPr>
      <w:tblPr/>
      <w:tcPr>
        <w:tcBorders>
          <w:top w:val="single" w:sz="4" w:space="0" w:color="8E03A3" w:themeColor="accent4"/>
          <w:left w:val="single" w:sz="4" w:space="0" w:color="8E03A3" w:themeColor="accent4"/>
          <w:bottom w:val="single" w:sz="4" w:space="0" w:color="8E03A3" w:themeColor="accent4"/>
          <w:right w:val="single" w:sz="4" w:space="0" w:color="8E03A3" w:themeColor="accent4"/>
        </w:tcBorders>
        <w:shd w:val="clear" w:color="E032FB" w:fill="E032FB" w:themeFill="accent4" w:themeFillTint="9A"/>
      </w:tcPr>
    </w:tblStylePr>
    <w:tblStylePr w:type="lastRow">
      <w:rPr>
        <w:b/>
      </w:rPr>
      <w:tblPr/>
      <w:tcPr>
        <w:tcBorders>
          <w:top w:val="single" w:sz="4" w:space="0" w:color="8E03A3" w:themeColor="accent4"/>
        </w:tcBorders>
      </w:tcPr>
    </w:tblStylePr>
    <w:tblStylePr w:type="firstCol">
      <w:rPr>
        <w:b/>
      </w:rPr>
    </w:tblStylePr>
    <w:tblStylePr w:type="lastCol">
      <w:rPr>
        <w:b/>
      </w:rPr>
    </w:tblStylePr>
    <w:tblStylePr w:type="band1Vert">
      <w:rPr>
        <w:sz w:val="22"/>
      </w:rPr>
      <w:tblPr/>
      <w:tcPr>
        <w:shd w:val="clear" w:color="F4B9FD" w:fill="F4B9FD" w:themeFill="accent4" w:themeFillTint="34"/>
      </w:tcPr>
    </w:tblStylePr>
    <w:tblStylePr w:type="band1Horz">
      <w:rPr>
        <w:sz w:val="22"/>
      </w:rPr>
      <w:tblPr/>
      <w:tcPr>
        <w:shd w:val="clear" w:color="F4B9FD" w:fill="F4B9FD" w:themeFill="accent4" w:themeFillTint="34"/>
      </w:tcPr>
    </w:tblStylePr>
  </w:style>
  <w:style w:type="table" w:customStyle="1" w:styleId="GridTable4-Accent5">
    <w:name w:val="Grid Table 4 - Accent 5"/>
    <w:uiPriority w:val="59"/>
    <w:rsid w:val="00B52DE3"/>
    <w:tblPr>
      <w:tblStyleRowBandSize w:val="1"/>
      <w:tblStyleColBandSize w:val="1"/>
      <w:tblBorders>
        <w:top w:val="single" w:sz="4" w:space="0" w:color="FFD750" w:themeColor="accent5" w:themeTint="90"/>
        <w:left w:val="single" w:sz="4" w:space="0" w:color="FFD750" w:themeColor="accent5" w:themeTint="90"/>
        <w:bottom w:val="single" w:sz="4" w:space="0" w:color="FFD750" w:themeColor="accent5" w:themeTint="90"/>
        <w:right w:val="single" w:sz="4" w:space="0" w:color="FFD750" w:themeColor="accent5" w:themeTint="90"/>
        <w:insideH w:val="single" w:sz="4" w:space="0" w:color="FFD750" w:themeColor="accent5" w:themeTint="90"/>
        <w:insideV w:val="single" w:sz="4" w:space="0" w:color="FFD750" w:themeColor="accent5" w:themeTint="90"/>
      </w:tblBorders>
      <w:tblCellMar>
        <w:top w:w="0" w:type="dxa"/>
        <w:left w:w="0" w:type="dxa"/>
        <w:bottom w:w="0" w:type="dxa"/>
        <w:right w:w="0" w:type="dxa"/>
      </w:tblCellMar>
    </w:tblPr>
    <w:tblStylePr w:type="firstRow">
      <w:rPr>
        <w:b/>
        <w:sz w:val="22"/>
      </w:rPr>
      <w:tblPr/>
      <w:tcPr>
        <w:tcBorders>
          <w:top w:val="single" w:sz="4" w:space="0" w:color="C99C00" w:themeColor="accent5"/>
          <w:left w:val="single" w:sz="4" w:space="0" w:color="C99C00" w:themeColor="accent5"/>
          <w:bottom w:val="single" w:sz="4" w:space="0" w:color="C99C00" w:themeColor="accent5"/>
          <w:right w:val="single" w:sz="4" w:space="0" w:color="C99C00" w:themeColor="accent5"/>
        </w:tcBorders>
        <w:shd w:val="clear" w:color="C99C00" w:fill="C99C00" w:themeFill="accent5"/>
      </w:tcPr>
    </w:tblStylePr>
    <w:tblStylePr w:type="lastRow">
      <w:rPr>
        <w:b/>
      </w:rPr>
      <w:tblPr/>
      <w:tcPr>
        <w:tcBorders>
          <w:top w:val="single" w:sz="4" w:space="0" w:color="C99C00" w:themeColor="accent5"/>
        </w:tcBorders>
      </w:tcPr>
    </w:tblStylePr>
    <w:tblStylePr w:type="firstCol">
      <w:rPr>
        <w:b/>
      </w:rPr>
    </w:tblStylePr>
    <w:tblStylePr w:type="lastCol">
      <w:rPr>
        <w:b/>
      </w:rPr>
    </w:tblStylePr>
    <w:tblStylePr w:type="band1Vert">
      <w:rPr>
        <w:sz w:val="22"/>
      </w:rPr>
      <w:tblPr/>
      <w:tcPr>
        <w:shd w:val="clear" w:color="FFF0BF" w:fill="FFF0BF" w:themeFill="accent5" w:themeFillTint="34"/>
      </w:tcPr>
    </w:tblStylePr>
    <w:tblStylePr w:type="band1Horz">
      <w:rPr>
        <w:sz w:val="22"/>
      </w:rPr>
      <w:tblPr/>
      <w:tcPr>
        <w:shd w:val="clear" w:color="FFF0BF" w:fill="FFF0BF" w:themeFill="accent5" w:themeFillTint="34"/>
      </w:tcPr>
    </w:tblStylePr>
  </w:style>
  <w:style w:type="table" w:customStyle="1" w:styleId="GridTable4-Accent6">
    <w:name w:val="Grid Table 4 - Accent 6"/>
    <w:uiPriority w:val="59"/>
    <w:rsid w:val="00B52DE3"/>
    <w:tblPr>
      <w:tblStyleRowBandSize w:val="1"/>
      <w:tblStyleColBandSize w:val="1"/>
      <w:tblBorders>
        <w:top w:val="single" w:sz="4" w:space="0" w:color="EA7775" w:themeColor="accent6" w:themeTint="90"/>
        <w:left w:val="single" w:sz="4" w:space="0" w:color="EA7775" w:themeColor="accent6" w:themeTint="90"/>
        <w:bottom w:val="single" w:sz="4" w:space="0" w:color="EA7775" w:themeColor="accent6" w:themeTint="90"/>
        <w:right w:val="single" w:sz="4" w:space="0" w:color="EA7775" w:themeColor="accent6" w:themeTint="90"/>
        <w:insideH w:val="single" w:sz="4" w:space="0" w:color="EA7775" w:themeColor="accent6" w:themeTint="90"/>
        <w:insideV w:val="single" w:sz="4" w:space="0" w:color="EA7775" w:themeColor="accent6" w:themeTint="90"/>
      </w:tblBorders>
      <w:tblCellMar>
        <w:top w:w="0" w:type="dxa"/>
        <w:left w:w="0" w:type="dxa"/>
        <w:bottom w:w="0" w:type="dxa"/>
        <w:right w:w="0" w:type="dxa"/>
      </w:tblCellMar>
    </w:tblPr>
    <w:tblStylePr w:type="firstRow">
      <w:rPr>
        <w:b/>
        <w:sz w:val="22"/>
      </w:rPr>
      <w:tblPr/>
      <w:tcPr>
        <w:tcBorders>
          <w:top w:val="single" w:sz="4" w:space="0" w:color="C9211E" w:themeColor="accent6"/>
          <w:left w:val="single" w:sz="4" w:space="0" w:color="C9211E" w:themeColor="accent6"/>
          <w:bottom w:val="single" w:sz="4" w:space="0" w:color="C9211E" w:themeColor="accent6"/>
          <w:right w:val="single" w:sz="4" w:space="0" w:color="C9211E" w:themeColor="accent6"/>
        </w:tcBorders>
        <w:shd w:val="clear" w:color="C9211E" w:fill="C9211E" w:themeFill="accent6"/>
      </w:tcPr>
    </w:tblStylePr>
    <w:tblStylePr w:type="lastRow">
      <w:rPr>
        <w:b/>
      </w:rPr>
      <w:tblPr/>
      <w:tcPr>
        <w:tcBorders>
          <w:top w:val="single" w:sz="4" w:space="0" w:color="C9211E" w:themeColor="accent6"/>
        </w:tcBorders>
      </w:tcPr>
    </w:tblStylePr>
    <w:tblStylePr w:type="firstCol">
      <w:rPr>
        <w:b/>
      </w:rPr>
    </w:tblStylePr>
    <w:tblStylePr w:type="lastCol">
      <w:rPr>
        <w:b/>
      </w:rPr>
    </w:tblStylePr>
    <w:tblStylePr w:type="band1Vert">
      <w:rPr>
        <w:sz w:val="22"/>
      </w:rPr>
      <w:tblPr/>
      <w:tcPr>
        <w:shd w:val="clear" w:color="F7CDCD" w:fill="F7CDCD" w:themeFill="accent6" w:themeFillTint="34"/>
      </w:tcPr>
    </w:tblStylePr>
    <w:tblStylePr w:type="band1Horz">
      <w:rPr>
        <w:sz w:val="22"/>
      </w:rPr>
      <w:tblPr/>
      <w:tcPr>
        <w:shd w:val="clear" w:color="F7CDCD" w:fill="F7CDCD" w:themeFill="accent6" w:themeFillTint="34"/>
      </w:tcPr>
    </w:tblStylePr>
  </w:style>
  <w:style w:type="table" w:customStyle="1" w:styleId="GridTable5Dark">
    <w:name w:val="Grid Table 5 Dark"/>
    <w:uiPriority w:val="99"/>
    <w:rsid w:val="00B52DE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uiPriority w:val="99"/>
    <w:rsid w:val="00B52DE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18A303" w:fill="18A303" w:themeFill="accent1"/>
      </w:tcPr>
    </w:tblStylePr>
    <w:tblStylePr w:type="lastRow">
      <w:rPr>
        <w:b/>
        <w:sz w:val="22"/>
      </w:rPr>
      <w:tblPr/>
      <w:tcPr>
        <w:tcBorders>
          <w:top w:val="single" w:sz="4" w:space="0" w:color="FFFFFF" w:themeColor="light1"/>
        </w:tcBorders>
        <w:shd w:val="clear" w:color="18A303" w:fill="18A303" w:themeFill="accent1"/>
      </w:tcPr>
    </w:tblStylePr>
    <w:tblStylePr w:type="firstCol">
      <w:rPr>
        <w:b/>
        <w:sz w:val="22"/>
      </w:rPr>
      <w:tblPr/>
      <w:tcPr>
        <w:shd w:val="clear" w:color="18A303" w:fill="18A303" w:themeFill="accent1"/>
      </w:tcPr>
    </w:tblStylePr>
    <w:tblStylePr w:type="lastCol">
      <w:rPr>
        <w:b/>
        <w:sz w:val="22"/>
      </w:rPr>
      <w:tblPr/>
      <w:tcPr>
        <w:shd w:val="clear" w:color="18A303" w:fill="18A303" w:themeFill="accent1"/>
      </w:tcPr>
    </w:tblStylePr>
    <w:tblStylePr w:type="band1Vert">
      <w:tblPr/>
      <w:tcPr>
        <w:shd w:val="clear" w:color="77FC63" w:fill="77FC63" w:themeFill="accent1" w:themeFillTint="75"/>
      </w:tcPr>
    </w:tblStylePr>
    <w:tblStylePr w:type="band1Horz">
      <w:tblPr/>
      <w:tcPr>
        <w:shd w:val="clear" w:color="77FC63" w:fill="77FC63" w:themeFill="accent1" w:themeFillTint="75"/>
      </w:tcPr>
    </w:tblStylePr>
  </w:style>
  <w:style w:type="table" w:customStyle="1" w:styleId="GridTable5Dark-Accent2">
    <w:name w:val="Grid Table 5 Dark - Accent 2"/>
    <w:uiPriority w:val="99"/>
    <w:rsid w:val="00B52DE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0369A3" w:fill="0369A3" w:themeFill="accent2"/>
      </w:tcPr>
    </w:tblStylePr>
    <w:tblStylePr w:type="lastRow">
      <w:rPr>
        <w:b/>
        <w:sz w:val="22"/>
      </w:rPr>
      <w:tblPr/>
      <w:tcPr>
        <w:tcBorders>
          <w:top w:val="single" w:sz="4" w:space="0" w:color="FFFFFF" w:themeColor="light1"/>
        </w:tcBorders>
        <w:shd w:val="clear" w:color="0369A3" w:fill="0369A3" w:themeFill="accent2"/>
      </w:tcPr>
    </w:tblStylePr>
    <w:tblStylePr w:type="firstCol">
      <w:rPr>
        <w:b/>
        <w:sz w:val="22"/>
      </w:rPr>
      <w:tblPr/>
      <w:tcPr>
        <w:shd w:val="clear" w:color="0369A3" w:fill="0369A3" w:themeFill="accent2"/>
      </w:tcPr>
    </w:tblStylePr>
    <w:tblStylePr w:type="lastCol">
      <w:rPr>
        <w:b/>
        <w:sz w:val="22"/>
      </w:rPr>
      <w:tblPr/>
      <w:tcPr>
        <w:shd w:val="clear" w:color="0369A3" w:fill="0369A3" w:themeFill="accent2"/>
      </w:tcPr>
    </w:tblStylePr>
    <w:tblStylePr w:type="band1Vert">
      <w:tblPr/>
      <w:tcPr>
        <w:shd w:val="clear" w:color="63C4FC" w:fill="63C4FC" w:themeFill="accent2" w:themeFillTint="75"/>
      </w:tcPr>
    </w:tblStylePr>
    <w:tblStylePr w:type="band1Horz">
      <w:tblPr/>
      <w:tcPr>
        <w:shd w:val="clear" w:color="63C4FC" w:fill="63C4FC" w:themeFill="accent2" w:themeFillTint="75"/>
      </w:tcPr>
    </w:tblStylePr>
  </w:style>
  <w:style w:type="table" w:customStyle="1" w:styleId="GridTable5Dark-Accent3">
    <w:name w:val="Grid Table 5 Dark - Accent 3"/>
    <w:uiPriority w:val="99"/>
    <w:rsid w:val="00B52DE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A33E03" w:fill="A33E03" w:themeFill="accent3"/>
      </w:tcPr>
    </w:tblStylePr>
    <w:tblStylePr w:type="lastRow">
      <w:rPr>
        <w:b/>
        <w:sz w:val="22"/>
      </w:rPr>
      <w:tblPr/>
      <w:tcPr>
        <w:tcBorders>
          <w:top w:val="single" w:sz="4" w:space="0" w:color="FFFFFF" w:themeColor="light1"/>
        </w:tcBorders>
        <w:shd w:val="clear" w:color="A33E03" w:fill="A33E03" w:themeFill="accent3"/>
      </w:tcPr>
    </w:tblStylePr>
    <w:tblStylePr w:type="firstCol">
      <w:rPr>
        <w:b/>
        <w:sz w:val="22"/>
      </w:rPr>
      <w:tblPr/>
      <w:tcPr>
        <w:shd w:val="clear" w:color="A33E03" w:fill="A33E03" w:themeFill="accent3"/>
      </w:tcPr>
    </w:tblStylePr>
    <w:tblStylePr w:type="lastCol">
      <w:rPr>
        <w:b/>
        <w:sz w:val="22"/>
      </w:rPr>
      <w:tblPr/>
      <w:tcPr>
        <w:shd w:val="clear" w:color="A33E03" w:fill="A33E03" w:themeFill="accent3"/>
      </w:tcPr>
    </w:tblStylePr>
    <w:tblStylePr w:type="band1Vert">
      <w:tblPr/>
      <w:tcPr>
        <w:shd w:val="clear" w:color="FC9B63" w:fill="FC9B63" w:themeFill="accent3" w:themeFillTint="75"/>
      </w:tcPr>
    </w:tblStylePr>
    <w:tblStylePr w:type="band1Horz">
      <w:tblPr/>
      <w:tcPr>
        <w:shd w:val="clear" w:color="FC9B63" w:fill="FC9B63" w:themeFill="accent3" w:themeFillTint="75"/>
      </w:tcPr>
    </w:tblStylePr>
  </w:style>
  <w:style w:type="table" w:customStyle="1" w:styleId="GridTable5Dark-Accent4">
    <w:name w:val="Grid Table 5 Dark- Accent 4"/>
    <w:uiPriority w:val="99"/>
    <w:rsid w:val="00B52DE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8E03A3" w:fill="8E03A3" w:themeFill="accent4"/>
      </w:tcPr>
    </w:tblStylePr>
    <w:tblStylePr w:type="lastRow">
      <w:rPr>
        <w:b/>
        <w:sz w:val="22"/>
      </w:rPr>
      <w:tblPr/>
      <w:tcPr>
        <w:tcBorders>
          <w:top w:val="single" w:sz="4" w:space="0" w:color="FFFFFF" w:themeColor="light1"/>
        </w:tcBorders>
        <w:shd w:val="clear" w:color="8E03A3" w:fill="8E03A3" w:themeFill="accent4"/>
      </w:tcPr>
    </w:tblStylePr>
    <w:tblStylePr w:type="firstCol">
      <w:rPr>
        <w:b/>
        <w:sz w:val="22"/>
      </w:rPr>
      <w:tblPr/>
      <w:tcPr>
        <w:shd w:val="clear" w:color="8E03A3" w:fill="8E03A3" w:themeFill="accent4"/>
      </w:tcPr>
    </w:tblStylePr>
    <w:tblStylePr w:type="lastCol">
      <w:rPr>
        <w:b/>
        <w:sz w:val="22"/>
      </w:rPr>
      <w:tblPr/>
      <w:tcPr>
        <w:shd w:val="clear" w:color="8E03A3" w:fill="8E03A3" w:themeFill="accent4"/>
      </w:tcPr>
    </w:tblStylePr>
    <w:tblStylePr w:type="band1Vert">
      <w:tblPr/>
      <w:tcPr>
        <w:shd w:val="clear" w:color="E763FC" w:fill="E763FC" w:themeFill="accent4" w:themeFillTint="75"/>
      </w:tcPr>
    </w:tblStylePr>
    <w:tblStylePr w:type="band1Horz">
      <w:tblPr/>
      <w:tcPr>
        <w:shd w:val="clear" w:color="E763FC" w:fill="E763FC" w:themeFill="accent4" w:themeFillTint="75"/>
      </w:tcPr>
    </w:tblStylePr>
  </w:style>
  <w:style w:type="table" w:customStyle="1" w:styleId="GridTable5Dark-Accent5">
    <w:name w:val="Grid Table 5 Dark - Accent 5"/>
    <w:uiPriority w:val="99"/>
    <w:rsid w:val="00B52DE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C99C00" w:fill="C99C00" w:themeFill="accent5"/>
      </w:tcPr>
    </w:tblStylePr>
    <w:tblStylePr w:type="lastRow">
      <w:rPr>
        <w:b/>
        <w:sz w:val="22"/>
      </w:rPr>
      <w:tblPr/>
      <w:tcPr>
        <w:tcBorders>
          <w:top w:val="single" w:sz="4" w:space="0" w:color="FFFFFF" w:themeColor="light1"/>
        </w:tcBorders>
        <w:shd w:val="clear" w:color="C99C00" w:fill="C99C00" w:themeFill="accent5"/>
      </w:tcPr>
    </w:tblStylePr>
    <w:tblStylePr w:type="firstCol">
      <w:rPr>
        <w:b/>
        <w:sz w:val="22"/>
      </w:rPr>
      <w:tblPr/>
      <w:tcPr>
        <w:shd w:val="clear" w:color="C99C00" w:fill="C99C00" w:themeFill="accent5"/>
      </w:tcPr>
    </w:tblStylePr>
    <w:tblStylePr w:type="lastCol">
      <w:rPr>
        <w:b/>
        <w:sz w:val="22"/>
      </w:rPr>
      <w:tblPr/>
      <w:tcPr>
        <w:shd w:val="clear" w:color="C99C00" w:fill="C99C00" w:themeFill="accent5"/>
      </w:tcPr>
    </w:tblStylePr>
    <w:tblStylePr w:type="band1Vert">
      <w:tblPr/>
      <w:tcPr>
        <w:shd w:val="clear" w:color="FFDE71" w:fill="FFDE71" w:themeFill="accent5" w:themeFillTint="75"/>
      </w:tcPr>
    </w:tblStylePr>
    <w:tblStylePr w:type="band1Horz">
      <w:tblPr/>
      <w:tcPr>
        <w:shd w:val="clear" w:color="FFDE71" w:fill="FFDE71" w:themeFill="accent5" w:themeFillTint="75"/>
      </w:tcPr>
    </w:tblStylePr>
  </w:style>
  <w:style w:type="table" w:customStyle="1" w:styleId="GridTable5Dark-Accent6">
    <w:name w:val="Grid Table 5 Dark - Accent 6"/>
    <w:uiPriority w:val="99"/>
    <w:rsid w:val="00B52DE3"/>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C9211E" w:fill="C9211E" w:themeFill="accent6"/>
      </w:tcPr>
    </w:tblStylePr>
    <w:tblStylePr w:type="lastRow">
      <w:rPr>
        <w:b/>
        <w:sz w:val="22"/>
      </w:rPr>
      <w:tblPr/>
      <w:tcPr>
        <w:tcBorders>
          <w:top w:val="single" w:sz="4" w:space="0" w:color="FFFFFF" w:themeColor="light1"/>
        </w:tcBorders>
        <w:shd w:val="clear" w:color="C9211E" w:fill="C9211E" w:themeFill="accent6"/>
      </w:tcPr>
    </w:tblStylePr>
    <w:tblStylePr w:type="firstCol">
      <w:rPr>
        <w:b/>
        <w:sz w:val="22"/>
      </w:rPr>
      <w:tblPr/>
      <w:tcPr>
        <w:shd w:val="clear" w:color="C9211E" w:fill="C9211E" w:themeFill="accent6"/>
      </w:tcPr>
    </w:tblStylePr>
    <w:tblStylePr w:type="lastCol">
      <w:rPr>
        <w:b/>
        <w:sz w:val="22"/>
      </w:rPr>
      <w:tblPr/>
      <w:tcPr>
        <w:shd w:val="clear" w:color="C9211E" w:fill="C9211E" w:themeFill="accent6"/>
      </w:tcPr>
    </w:tblStylePr>
    <w:tblStylePr w:type="band1Vert">
      <w:tblPr/>
      <w:tcPr>
        <w:shd w:val="clear" w:color="EE908F" w:fill="EE908F" w:themeFill="accent6" w:themeFillTint="75"/>
      </w:tcPr>
    </w:tblStylePr>
    <w:tblStylePr w:type="band1Horz">
      <w:tblPr/>
      <w:tcPr>
        <w:shd w:val="clear" w:color="EE908F" w:fill="EE908F" w:themeFill="accent6" w:themeFillTint="75"/>
      </w:tcPr>
    </w:tblStylePr>
  </w:style>
  <w:style w:type="table" w:customStyle="1" w:styleId="GridTable6Colorful">
    <w:name w:val="Grid Table 6 Colorful"/>
    <w:uiPriority w:val="99"/>
    <w:rsid w:val="00B52DE3"/>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uiPriority w:val="99"/>
    <w:rsid w:val="00B52DE3"/>
    <w:tblPr>
      <w:tblStyleRowBandSize w:val="1"/>
      <w:tblStyleColBandSize w:val="1"/>
      <w:tblBorders>
        <w:top w:val="single" w:sz="4" w:space="0" w:color="6AFC55" w:themeColor="accent1" w:themeTint="80"/>
        <w:left w:val="single" w:sz="4" w:space="0" w:color="6AFC55" w:themeColor="accent1" w:themeTint="80"/>
        <w:bottom w:val="single" w:sz="4" w:space="0" w:color="6AFC55" w:themeColor="accent1" w:themeTint="80"/>
        <w:right w:val="single" w:sz="4" w:space="0" w:color="6AFC55" w:themeColor="accent1" w:themeTint="80"/>
        <w:insideH w:val="single" w:sz="4" w:space="0" w:color="6AFC55" w:themeColor="accent1" w:themeTint="80"/>
        <w:insideV w:val="single" w:sz="4" w:space="0" w:color="6AFC55" w:themeColor="accent1" w:themeTint="80"/>
      </w:tblBorders>
      <w:tblCellMar>
        <w:top w:w="0" w:type="dxa"/>
        <w:left w:w="0" w:type="dxa"/>
        <w:bottom w:w="0" w:type="dxa"/>
        <w:right w:w="0" w:type="dxa"/>
      </w:tblCellMar>
    </w:tblPr>
    <w:tblStylePr w:type="firstRow">
      <w:rPr>
        <w:b/>
        <w:color w:val="6AFC55" w:themeColor="accent1" w:themeTint="80" w:themeShade="95"/>
      </w:rPr>
      <w:tblPr/>
      <w:tcPr>
        <w:tcBorders>
          <w:bottom w:val="single" w:sz="12" w:space="0" w:color="18A303" w:themeColor="accent1"/>
        </w:tcBorders>
      </w:tcPr>
    </w:tblStylePr>
    <w:tblStylePr w:type="lastRow">
      <w:rPr>
        <w:b/>
        <w:color w:val="6AFC55" w:themeColor="accent1" w:themeTint="80" w:themeShade="95"/>
      </w:rPr>
    </w:tblStylePr>
    <w:tblStylePr w:type="firstCol">
      <w:rPr>
        <w:b/>
        <w:color w:val="6AFC55" w:themeColor="accent1" w:themeTint="80" w:themeShade="95"/>
      </w:rPr>
    </w:tblStylePr>
    <w:tblStylePr w:type="lastCol">
      <w:rPr>
        <w:b/>
        <w:color w:val="6AFC55" w:themeColor="accent1" w:themeTint="80" w:themeShade="95"/>
      </w:rPr>
    </w:tblStylePr>
    <w:tblStylePr w:type="band1Vert">
      <w:tblPr/>
      <w:tcPr>
        <w:shd w:val="clear" w:color="C2FDB9" w:fill="C2FDB9" w:themeFill="accent1" w:themeFillTint="34"/>
      </w:tcPr>
    </w:tblStylePr>
    <w:tblStylePr w:type="band1Horz">
      <w:rPr>
        <w:color w:val="6AFC55" w:themeColor="accent1" w:themeTint="80" w:themeShade="95"/>
        <w:sz w:val="22"/>
      </w:rPr>
      <w:tblPr/>
      <w:tcPr>
        <w:shd w:val="clear" w:color="C2FDB9" w:fill="C2FDB9" w:themeFill="accent1" w:themeFillTint="34"/>
      </w:tcPr>
    </w:tblStylePr>
    <w:tblStylePr w:type="band2Horz">
      <w:rPr>
        <w:color w:val="6AFC55" w:themeColor="accent1" w:themeTint="80" w:themeShade="95"/>
        <w:sz w:val="22"/>
      </w:rPr>
    </w:tblStylePr>
  </w:style>
  <w:style w:type="table" w:customStyle="1" w:styleId="GridTable6Colorful-Accent2">
    <w:name w:val="Grid Table 6 Colorful - Accent 2"/>
    <w:uiPriority w:val="99"/>
    <w:rsid w:val="00B52DE3"/>
    <w:tblPr>
      <w:tblStyleRowBandSize w:val="1"/>
      <w:tblStyleColBandSize w:val="1"/>
      <w:tbl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insideH w:val="single" w:sz="4" w:space="0" w:color="36B3FB" w:themeColor="accent2" w:themeTint="97"/>
        <w:insideV w:val="single" w:sz="4" w:space="0" w:color="36B3FB" w:themeColor="accent2" w:themeTint="97"/>
      </w:tblBorders>
      <w:tblCellMar>
        <w:top w:w="0" w:type="dxa"/>
        <w:left w:w="0" w:type="dxa"/>
        <w:bottom w:w="0" w:type="dxa"/>
        <w:right w:w="0" w:type="dxa"/>
      </w:tblCellMar>
    </w:tblPr>
    <w:tblStylePr w:type="firstRow">
      <w:rPr>
        <w:b/>
        <w:color w:val="36B3FB" w:themeColor="accent2" w:themeTint="97" w:themeShade="95"/>
      </w:rPr>
      <w:tblPr/>
      <w:tcPr>
        <w:tcBorders>
          <w:bottom w:val="single" w:sz="12" w:space="0" w:color="0369A3" w:themeColor="accent2"/>
        </w:tcBorders>
      </w:tcPr>
    </w:tblStylePr>
    <w:tblStylePr w:type="lastRow">
      <w:rPr>
        <w:b/>
        <w:color w:val="36B3FB" w:themeColor="accent2" w:themeTint="97" w:themeShade="95"/>
      </w:rPr>
    </w:tblStylePr>
    <w:tblStylePr w:type="firstCol">
      <w:rPr>
        <w:b/>
        <w:color w:val="36B3FB" w:themeColor="accent2" w:themeTint="97" w:themeShade="95"/>
      </w:rPr>
    </w:tblStylePr>
    <w:tblStylePr w:type="lastCol">
      <w:rPr>
        <w:b/>
        <w:color w:val="36B3FB" w:themeColor="accent2" w:themeTint="97" w:themeShade="95"/>
      </w:rPr>
    </w:tblStylePr>
    <w:tblStylePr w:type="band1Vert">
      <w:tblPr/>
      <w:tcPr>
        <w:shd w:val="clear" w:color="BCE6FD" w:fill="BCE6FD" w:themeFill="accent2" w:themeFillTint="32"/>
      </w:tcPr>
    </w:tblStylePr>
    <w:tblStylePr w:type="band1Horz">
      <w:rPr>
        <w:color w:val="36B3FB" w:themeColor="accent2" w:themeTint="97" w:themeShade="95"/>
        <w:sz w:val="22"/>
      </w:rPr>
      <w:tblPr/>
      <w:tcPr>
        <w:shd w:val="clear" w:color="BCE6FD" w:fill="BCE6FD" w:themeFill="accent2" w:themeFillTint="32"/>
      </w:tcPr>
    </w:tblStylePr>
    <w:tblStylePr w:type="band2Horz">
      <w:rPr>
        <w:color w:val="36B3FB" w:themeColor="accent2" w:themeTint="97" w:themeShade="95"/>
        <w:sz w:val="22"/>
      </w:rPr>
    </w:tblStylePr>
  </w:style>
  <w:style w:type="table" w:customStyle="1" w:styleId="GridTable6Colorful-Accent3">
    <w:name w:val="Grid Table 6 Colorful - Accent 3"/>
    <w:uiPriority w:val="99"/>
    <w:rsid w:val="00B52DE3"/>
    <w:tblPr>
      <w:tblStyleRowBandSize w:val="1"/>
      <w:tblStyleColBandSize w:val="1"/>
      <w:tblBorders>
        <w:top w:val="single" w:sz="4" w:space="0" w:color="A43E03" w:themeColor="accent3" w:themeTint="FE"/>
        <w:left w:val="single" w:sz="4" w:space="0" w:color="A43E03" w:themeColor="accent3" w:themeTint="FE"/>
        <w:bottom w:val="single" w:sz="4" w:space="0" w:color="A43E03" w:themeColor="accent3" w:themeTint="FE"/>
        <w:right w:val="single" w:sz="4" w:space="0" w:color="A43E03" w:themeColor="accent3" w:themeTint="FE"/>
        <w:insideH w:val="single" w:sz="4" w:space="0" w:color="A43E03" w:themeColor="accent3" w:themeTint="FE"/>
        <w:insideV w:val="single" w:sz="4" w:space="0" w:color="A43E03" w:themeColor="accent3" w:themeTint="FE"/>
      </w:tblBorders>
      <w:tblCellMar>
        <w:top w:w="0" w:type="dxa"/>
        <w:left w:w="0" w:type="dxa"/>
        <w:bottom w:w="0" w:type="dxa"/>
        <w:right w:w="0" w:type="dxa"/>
      </w:tblCellMar>
    </w:tblPr>
    <w:tblStylePr w:type="firstRow">
      <w:rPr>
        <w:b/>
        <w:color w:val="A43E03" w:themeColor="accent3" w:themeTint="FE" w:themeShade="95"/>
      </w:rPr>
      <w:tblPr/>
      <w:tcPr>
        <w:tcBorders>
          <w:bottom w:val="single" w:sz="12" w:space="0" w:color="A33E03" w:themeColor="accent3"/>
        </w:tcBorders>
      </w:tcPr>
    </w:tblStylePr>
    <w:tblStylePr w:type="lastRow">
      <w:rPr>
        <w:b/>
        <w:color w:val="A43E03" w:themeColor="accent3" w:themeTint="FE" w:themeShade="95"/>
      </w:rPr>
    </w:tblStylePr>
    <w:tblStylePr w:type="firstCol">
      <w:rPr>
        <w:b/>
        <w:color w:val="A43E03" w:themeColor="accent3" w:themeTint="FE" w:themeShade="95"/>
      </w:rPr>
    </w:tblStylePr>
    <w:tblStylePr w:type="lastCol">
      <w:rPr>
        <w:b/>
        <w:color w:val="A43E03" w:themeColor="accent3" w:themeTint="FE" w:themeShade="95"/>
      </w:rPr>
    </w:tblStylePr>
    <w:tblStylePr w:type="band1Vert">
      <w:tblPr/>
      <w:tcPr>
        <w:shd w:val="clear" w:color="FDD2B9" w:fill="FDD2B9" w:themeFill="accent3" w:themeFillTint="34"/>
      </w:tcPr>
    </w:tblStylePr>
    <w:tblStylePr w:type="band1Horz">
      <w:rPr>
        <w:color w:val="A43E03" w:themeColor="accent3" w:themeTint="FE" w:themeShade="95"/>
        <w:sz w:val="22"/>
      </w:rPr>
      <w:tblPr/>
      <w:tcPr>
        <w:shd w:val="clear" w:color="FDD2B9" w:fill="FDD2B9" w:themeFill="accent3" w:themeFillTint="34"/>
      </w:tcPr>
    </w:tblStylePr>
    <w:tblStylePr w:type="band2Horz">
      <w:rPr>
        <w:color w:val="A43E03" w:themeColor="accent3" w:themeTint="FE" w:themeShade="95"/>
        <w:sz w:val="22"/>
      </w:rPr>
    </w:tblStylePr>
  </w:style>
  <w:style w:type="table" w:customStyle="1" w:styleId="GridTable6Colorful-Accent4">
    <w:name w:val="Grid Table 6 Colorful - Accent 4"/>
    <w:uiPriority w:val="99"/>
    <w:rsid w:val="00B52DE3"/>
    <w:tblPr>
      <w:tblStyleRowBandSize w:val="1"/>
      <w:tblStyleColBandSize w:val="1"/>
      <w:tbl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insideH w:val="single" w:sz="4" w:space="0" w:color="E032FB" w:themeColor="accent4" w:themeTint="9A"/>
        <w:insideV w:val="single" w:sz="4" w:space="0" w:color="E032FB" w:themeColor="accent4" w:themeTint="9A"/>
      </w:tblBorders>
      <w:tblCellMar>
        <w:top w:w="0" w:type="dxa"/>
        <w:left w:w="0" w:type="dxa"/>
        <w:bottom w:w="0" w:type="dxa"/>
        <w:right w:w="0" w:type="dxa"/>
      </w:tblCellMar>
    </w:tblPr>
    <w:tblStylePr w:type="firstRow">
      <w:rPr>
        <w:b/>
        <w:color w:val="E032FB" w:themeColor="accent4" w:themeTint="9A" w:themeShade="95"/>
      </w:rPr>
      <w:tblPr/>
      <w:tcPr>
        <w:tcBorders>
          <w:bottom w:val="single" w:sz="12" w:space="0" w:color="8E03A3" w:themeColor="accent4"/>
        </w:tcBorders>
      </w:tcPr>
    </w:tblStylePr>
    <w:tblStylePr w:type="lastRow">
      <w:rPr>
        <w:b/>
        <w:color w:val="E032FB" w:themeColor="accent4" w:themeTint="9A" w:themeShade="95"/>
      </w:rPr>
    </w:tblStylePr>
    <w:tblStylePr w:type="firstCol">
      <w:rPr>
        <w:b/>
        <w:color w:val="E032FB" w:themeColor="accent4" w:themeTint="9A" w:themeShade="95"/>
      </w:rPr>
    </w:tblStylePr>
    <w:tblStylePr w:type="lastCol">
      <w:rPr>
        <w:b/>
        <w:color w:val="E032FB" w:themeColor="accent4" w:themeTint="9A" w:themeShade="95"/>
      </w:rPr>
    </w:tblStylePr>
    <w:tblStylePr w:type="band1Vert">
      <w:tblPr/>
      <w:tcPr>
        <w:shd w:val="clear" w:color="F4B9FD" w:fill="F4B9FD" w:themeFill="accent4" w:themeFillTint="34"/>
      </w:tcPr>
    </w:tblStylePr>
    <w:tblStylePr w:type="band1Horz">
      <w:rPr>
        <w:color w:val="E032FB" w:themeColor="accent4" w:themeTint="9A" w:themeShade="95"/>
        <w:sz w:val="22"/>
      </w:rPr>
      <w:tblPr/>
      <w:tcPr>
        <w:shd w:val="clear" w:color="F4B9FD" w:fill="F4B9FD" w:themeFill="accent4" w:themeFillTint="34"/>
      </w:tcPr>
    </w:tblStylePr>
    <w:tblStylePr w:type="band2Horz">
      <w:rPr>
        <w:color w:val="E032FB" w:themeColor="accent4" w:themeTint="9A" w:themeShade="95"/>
        <w:sz w:val="22"/>
      </w:rPr>
    </w:tblStylePr>
  </w:style>
  <w:style w:type="table" w:customStyle="1" w:styleId="GridTable6Colorful-Accent5">
    <w:name w:val="Grid Table 6 Colorful - Accent 5"/>
    <w:uiPriority w:val="99"/>
    <w:rsid w:val="00B52DE3"/>
    <w:tblPr>
      <w:tblStyleRowBandSize w:val="1"/>
      <w:tblStyleColBandSize w:val="1"/>
      <w:tblBorders>
        <w:top w:val="single" w:sz="4" w:space="0" w:color="C99C00" w:themeColor="accent5"/>
        <w:left w:val="single" w:sz="4" w:space="0" w:color="C99C00" w:themeColor="accent5"/>
        <w:bottom w:val="single" w:sz="4" w:space="0" w:color="C99C00" w:themeColor="accent5"/>
        <w:right w:val="single" w:sz="4" w:space="0" w:color="C99C00" w:themeColor="accent5"/>
        <w:insideH w:val="single" w:sz="4" w:space="0" w:color="C99C00" w:themeColor="accent5"/>
        <w:insideV w:val="single" w:sz="4" w:space="0" w:color="C99C00" w:themeColor="accent5"/>
      </w:tblBorders>
      <w:tblCellMar>
        <w:top w:w="0" w:type="dxa"/>
        <w:left w:w="0" w:type="dxa"/>
        <w:bottom w:w="0" w:type="dxa"/>
        <w:right w:w="0" w:type="dxa"/>
      </w:tblCellMar>
    </w:tblPr>
    <w:tblStylePr w:type="firstRow">
      <w:rPr>
        <w:b/>
        <w:color w:val="755A00" w:themeColor="accent5" w:themeShade="95"/>
      </w:rPr>
      <w:tblPr/>
      <w:tcPr>
        <w:tcBorders>
          <w:bottom w:val="single" w:sz="12" w:space="0" w:color="C99C00" w:themeColor="accent5"/>
        </w:tcBorders>
      </w:tcPr>
    </w:tblStylePr>
    <w:tblStylePr w:type="lastRow">
      <w:rPr>
        <w:b/>
        <w:color w:val="755A00" w:themeColor="accent5" w:themeShade="95"/>
      </w:rPr>
    </w:tblStylePr>
    <w:tblStylePr w:type="firstCol">
      <w:rPr>
        <w:b/>
        <w:color w:val="755A00" w:themeColor="accent5" w:themeShade="95"/>
      </w:rPr>
    </w:tblStylePr>
    <w:tblStylePr w:type="lastCol">
      <w:rPr>
        <w:b/>
        <w:color w:val="755A00" w:themeColor="accent5" w:themeShade="95"/>
      </w:rPr>
    </w:tblStylePr>
    <w:tblStylePr w:type="band1Vert">
      <w:tblPr/>
      <w:tcPr>
        <w:shd w:val="clear" w:color="FFF0BF" w:fill="FFF0BF" w:themeFill="accent5" w:themeFillTint="34"/>
      </w:tcPr>
    </w:tblStylePr>
    <w:tblStylePr w:type="band1Horz">
      <w:rPr>
        <w:color w:val="755A00" w:themeColor="accent5" w:themeShade="95"/>
        <w:sz w:val="22"/>
      </w:rPr>
      <w:tblPr/>
      <w:tcPr>
        <w:shd w:val="clear" w:color="FFF0BF" w:fill="FFF0BF" w:themeFill="accent5" w:themeFillTint="34"/>
      </w:tcPr>
    </w:tblStylePr>
    <w:tblStylePr w:type="band2Horz">
      <w:rPr>
        <w:color w:val="755A00" w:themeColor="accent5" w:themeShade="95"/>
        <w:sz w:val="22"/>
      </w:rPr>
    </w:tblStylePr>
  </w:style>
  <w:style w:type="table" w:customStyle="1" w:styleId="GridTable6Colorful-Accent6">
    <w:name w:val="Grid Table 6 Colorful - Accent 6"/>
    <w:uiPriority w:val="99"/>
    <w:rsid w:val="00B52DE3"/>
    <w:tblPr>
      <w:tblStyleRowBandSize w:val="1"/>
      <w:tblStyleColBandSize w:val="1"/>
      <w:tblBorders>
        <w:top w:val="single" w:sz="4" w:space="0" w:color="C9211E" w:themeColor="accent6"/>
        <w:left w:val="single" w:sz="4" w:space="0" w:color="C9211E" w:themeColor="accent6"/>
        <w:bottom w:val="single" w:sz="4" w:space="0" w:color="C9211E" w:themeColor="accent6"/>
        <w:right w:val="single" w:sz="4" w:space="0" w:color="C9211E" w:themeColor="accent6"/>
        <w:insideH w:val="single" w:sz="4" w:space="0" w:color="C9211E" w:themeColor="accent6"/>
        <w:insideV w:val="single" w:sz="4" w:space="0" w:color="C9211E" w:themeColor="accent6"/>
      </w:tblBorders>
      <w:tblCellMar>
        <w:top w:w="0" w:type="dxa"/>
        <w:left w:w="0" w:type="dxa"/>
        <w:bottom w:w="0" w:type="dxa"/>
        <w:right w:w="0" w:type="dxa"/>
      </w:tblCellMar>
    </w:tblPr>
    <w:tblStylePr w:type="firstRow">
      <w:rPr>
        <w:b/>
        <w:color w:val="755A00" w:themeColor="accent5" w:themeShade="95"/>
      </w:rPr>
      <w:tblPr/>
      <w:tcPr>
        <w:tcBorders>
          <w:bottom w:val="single" w:sz="12" w:space="0" w:color="C9211E" w:themeColor="accent6"/>
        </w:tcBorders>
      </w:tcPr>
    </w:tblStylePr>
    <w:tblStylePr w:type="lastRow">
      <w:rPr>
        <w:b/>
        <w:color w:val="755A00" w:themeColor="accent5" w:themeShade="95"/>
      </w:rPr>
    </w:tblStylePr>
    <w:tblStylePr w:type="firstCol">
      <w:rPr>
        <w:b/>
        <w:color w:val="755A00" w:themeColor="accent5" w:themeShade="95"/>
      </w:rPr>
    </w:tblStylePr>
    <w:tblStylePr w:type="lastCol">
      <w:rPr>
        <w:b/>
        <w:color w:val="755A00" w:themeColor="accent5" w:themeShade="95"/>
      </w:rPr>
    </w:tblStylePr>
    <w:tblStylePr w:type="band1Vert">
      <w:tblPr/>
      <w:tcPr>
        <w:shd w:val="clear" w:color="F7CDCD" w:fill="F7CDCD" w:themeFill="accent6" w:themeFillTint="34"/>
      </w:tcPr>
    </w:tblStylePr>
    <w:tblStylePr w:type="band1Horz">
      <w:rPr>
        <w:color w:val="755A00" w:themeColor="accent5" w:themeShade="95"/>
        <w:sz w:val="22"/>
      </w:rPr>
      <w:tblPr/>
      <w:tcPr>
        <w:shd w:val="clear" w:color="F7CDCD" w:fill="F7CDCD" w:themeFill="accent6" w:themeFillTint="34"/>
      </w:tcPr>
    </w:tblStylePr>
    <w:tblStylePr w:type="band2Horz">
      <w:rPr>
        <w:color w:val="755A00" w:themeColor="accent5" w:themeShade="95"/>
        <w:sz w:val="22"/>
      </w:rPr>
    </w:tblStylePr>
  </w:style>
  <w:style w:type="table" w:customStyle="1" w:styleId="GridTable7Colorful">
    <w:name w:val="Grid Table 7 Colorful"/>
    <w:uiPriority w:val="99"/>
    <w:rsid w:val="00B52DE3"/>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FFFFF" w:themeFill="text1" w:themeFillTint="0"/>
      </w:tcPr>
    </w:tblStylePr>
    <w:tblStylePr w:type="band1Horz">
      <w:rPr>
        <w:color w:val="7F7F7F" w:themeColor="text1" w:themeTint="80" w:themeShade="95"/>
        <w:sz w:val="22"/>
      </w:rPr>
      <w:tblPr/>
      <w:tcPr>
        <w:shd w:val="clear" w:color="F2F2F2" w:fill="FFFFFF" w:themeFill="text1" w:themeFillTint="0"/>
      </w:tcPr>
    </w:tblStylePr>
    <w:tblStylePr w:type="band2Horz">
      <w:rPr>
        <w:color w:val="7F7F7F" w:themeColor="text1" w:themeTint="80" w:themeShade="95"/>
        <w:sz w:val="22"/>
      </w:rPr>
    </w:tblStylePr>
  </w:style>
  <w:style w:type="table" w:customStyle="1" w:styleId="GridTable7Colorful-Accent1">
    <w:name w:val="Grid Table 7 Colorful - Accent 1"/>
    <w:uiPriority w:val="99"/>
    <w:rsid w:val="00B52DE3"/>
    <w:tblPr>
      <w:tblStyleRowBandSize w:val="1"/>
      <w:tblStyleColBandSize w:val="1"/>
      <w:tblBorders>
        <w:bottom w:val="single" w:sz="4" w:space="0" w:color="6AFC55" w:themeColor="accent1" w:themeTint="80"/>
        <w:right w:val="single" w:sz="4" w:space="0" w:color="6AFC55" w:themeColor="accent1" w:themeTint="80"/>
        <w:insideH w:val="single" w:sz="4" w:space="0" w:color="6AFC55" w:themeColor="accent1" w:themeTint="80"/>
        <w:insideV w:val="single" w:sz="4" w:space="0" w:color="6AFC55" w:themeColor="accent1" w:themeTint="80"/>
      </w:tblBorders>
      <w:tblCellMar>
        <w:top w:w="0" w:type="dxa"/>
        <w:left w:w="0" w:type="dxa"/>
        <w:bottom w:w="0" w:type="dxa"/>
        <w:right w:w="0" w:type="dxa"/>
      </w:tblCellMar>
    </w:tblPr>
    <w:tblStylePr w:type="firstRow">
      <w:rPr>
        <w:b/>
        <w:color w:val="6AFC55" w:themeColor="accent1" w:themeTint="80" w:themeShade="95"/>
        <w:sz w:val="22"/>
      </w:rPr>
      <w:tblPr/>
      <w:tcPr>
        <w:tcBorders>
          <w:top w:val="none" w:sz="4" w:space="0" w:color="000000"/>
          <w:left w:val="none" w:sz="4" w:space="0" w:color="000000"/>
          <w:bottom w:val="single" w:sz="4" w:space="0" w:color="18A303" w:themeColor="accent1"/>
          <w:right w:val="none" w:sz="4" w:space="0" w:color="000000"/>
        </w:tcBorders>
        <w:shd w:val="clear" w:color="FFFFFF" w:fill="FFFFFF" w:themeFill="light1"/>
      </w:tcPr>
    </w:tblStylePr>
    <w:tblStylePr w:type="lastRow">
      <w:rPr>
        <w:b/>
        <w:color w:val="6AFC55" w:themeColor="accent1" w:themeTint="80" w:themeShade="95"/>
        <w:sz w:val="22"/>
      </w:rPr>
      <w:tblPr/>
      <w:tcPr>
        <w:tcBorders>
          <w:top w:val="single" w:sz="4" w:space="0" w:color="18A303"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6AFC55" w:themeColor="accent1" w:themeTint="80" w:themeShade="95"/>
        <w:sz w:val="22"/>
      </w:rPr>
      <w:tblPr/>
      <w:tcPr>
        <w:tcBorders>
          <w:top w:val="none" w:sz="4" w:space="0" w:color="000000"/>
          <w:left w:val="none" w:sz="4" w:space="0" w:color="000000"/>
          <w:bottom w:val="none" w:sz="4" w:space="0" w:color="000000"/>
          <w:right w:val="single" w:sz="4" w:space="0" w:color="18A303" w:themeColor="accent1"/>
        </w:tcBorders>
        <w:shd w:val="clear" w:color="FFFFFF" w:fill="auto"/>
      </w:tcPr>
    </w:tblStylePr>
    <w:tblStylePr w:type="lastCol">
      <w:rPr>
        <w:i/>
        <w:color w:val="6AFC55" w:themeColor="accent1" w:themeTint="80" w:themeShade="95"/>
        <w:sz w:val="22"/>
      </w:rPr>
      <w:tblPr/>
      <w:tcPr>
        <w:tcBorders>
          <w:top w:val="none" w:sz="4" w:space="0" w:color="000000"/>
          <w:left w:val="single" w:sz="4" w:space="0" w:color="18A303" w:themeColor="accent1"/>
          <w:bottom w:val="none" w:sz="4" w:space="0" w:color="000000"/>
          <w:right w:val="none" w:sz="4" w:space="0" w:color="000000"/>
        </w:tcBorders>
        <w:shd w:val="clear" w:color="FFFFFF" w:fill="auto"/>
      </w:tcPr>
    </w:tblStylePr>
    <w:tblStylePr w:type="band1Vert">
      <w:tblPr/>
      <w:tcPr>
        <w:shd w:val="clear" w:color="C2FDB9" w:fill="C2FDB9" w:themeFill="accent1" w:themeFillTint="34"/>
      </w:tcPr>
    </w:tblStylePr>
    <w:tblStylePr w:type="band1Horz">
      <w:rPr>
        <w:color w:val="6AFC55" w:themeColor="accent1" w:themeTint="80" w:themeShade="95"/>
        <w:sz w:val="22"/>
      </w:rPr>
      <w:tblPr/>
      <w:tcPr>
        <w:shd w:val="clear" w:color="C2FDB9" w:fill="C2FDB9" w:themeFill="accent1" w:themeFillTint="34"/>
      </w:tcPr>
    </w:tblStylePr>
    <w:tblStylePr w:type="band2Horz">
      <w:rPr>
        <w:color w:val="6AFC55" w:themeColor="accent1" w:themeTint="80" w:themeShade="95"/>
        <w:sz w:val="22"/>
      </w:rPr>
    </w:tblStylePr>
  </w:style>
  <w:style w:type="table" w:customStyle="1" w:styleId="GridTable7Colorful-Accent2">
    <w:name w:val="Grid Table 7 Colorful - Accent 2"/>
    <w:uiPriority w:val="99"/>
    <w:rsid w:val="00B52DE3"/>
    <w:tblPr>
      <w:tblStyleRowBandSize w:val="1"/>
      <w:tblStyleColBandSize w:val="1"/>
      <w:tblBorders>
        <w:bottom w:val="single" w:sz="4" w:space="0" w:color="36B3FB" w:themeColor="accent2" w:themeTint="97"/>
        <w:right w:val="single" w:sz="4" w:space="0" w:color="36B3FB" w:themeColor="accent2" w:themeTint="97"/>
        <w:insideH w:val="single" w:sz="4" w:space="0" w:color="36B3FB" w:themeColor="accent2" w:themeTint="97"/>
        <w:insideV w:val="single" w:sz="4" w:space="0" w:color="36B3FB" w:themeColor="accent2" w:themeTint="97"/>
      </w:tblBorders>
      <w:tblCellMar>
        <w:top w:w="0" w:type="dxa"/>
        <w:left w:w="0" w:type="dxa"/>
        <w:bottom w:w="0" w:type="dxa"/>
        <w:right w:w="0" w:type="dxa"/>
      </w:tblCellMar>
    </w:tblPr>
    <w:tblStylePr w:type="firstRow">
      <w:rPr>
        <w:b/>
        <w:color w:val="36B3FB" w:themeColor="accent2" w:themeTint="97" w:themeShade="95"/>
        <w:sz w:val="22"/>
      </w:rPr>
      <w:tblPr/>
      <w:tcPr>
        <w:tcBorders>
          <w:top w:val="none" w:sz="4" w:space="0" w:color="000000"/>
          <w:left w:val="none" w:sz="4" w:space="0" w:color="000000"/>
          <w:bottom w:val="single" w:sz="4" w:space="0" w:color="0369A3" w:themeColor="accent2"/>
          <w:right w:val="none" w:sz="4" w:space="0" w:color="000000"/>
        </w:tcBorders>
        <w:shd w:val="clear" w:color="FFFFFF" w:fill="FFFFFF" w:themeFill="light1"/>
      </w:tcPr>
    </w:tblStylePr>
    <w:tblStylePr w:type="lastRow">
      <w:rPr>
        <w:b/>
        <w:color w:val="36B3FB" w:themeColor="accent2" w:themeTint="97" w:themeShade="95"/>
        <w:sz w:val="22"/>
      </w:rPr>
      <w:tblPr/>
      <w:tcPr>
        <w:tcBorders>
          <w:top w:val="single" w:sz="4" w:space="0" w:color="0369A3"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36B3FB" w:themeColor="accent2" w:themeTint="97" w:themeShade="95"/>
        <w:sz w:val="22"/>
      </w:rPr>
      <w:tblPr/>
      <w:tcPr>
        <w:tcBorders>
          <w:top w:val="none" w:sz="4" w:space="0" w:color="000000"/>
          <w:left w:val="none" w:sz="4" w:space="0" w:color="000000"/>
          <w:bottom w:val="none" w:sz="4" w:space="0" w:color="000000"/>
          <w:right w:val="single" w:sz="4" w:space="0" w:color="0369A3" w:themeColor="accent2"/>
        </w:tcBorders>
        <w:shd w:val="clear" w:color="FFFFFF" w:fill="auto"/>
      </w:tcPr>
    </w:tblStylePr>
    <w:tblStylePr w:type="lastCol">
      <w:rPr>
        <w:i/>
        <w:color w:val="36B3FB" w:themeColor="accent2" w:themeTint="97" w:themeShade="95"/>
        <w:sz w:val="22"/>
      </w:rPr>
      <w:tblPr/>
      <w:tcPr>
        <w:tcBorders>
          <w:top w:val="none" w:sz="4" w:space="0" w:color="000000"/>
          <w:left w:val="single" w:sz="4" w:space="0" w:color="0369A3" w:themeColor="accent2"/>
          <w:bottom w:val="none" w:sz="4" w:space="0" w:color="000000"/>
          <w:right w:val="none" w:sz="4" w:space="0" w:color="000000"/>
        </w:tcBorders>
        <w:shd w:val="clear" w:color="FFFFFF" w:fill="auto"/>
      </w:tcPr>
    </w:tblStylePr>
    <w:tblStylePr w:type="band1Vert">
      <w:tblPr/>
      <w:tcPr>
        <w:shd w:val="clear" w:color="BCE6FD" w:fill="BCE6FD" w:themeFill="accent2" w:themeFillTint="32"/>
      </w:tcPr>
    </w:tblStylePr>
    <w:tblStylePr w:type="band1Horz">
      <w:rPr>
        <w:color w:val="36B3FB" w:themeColor="accent2" w:themeTint="97" w:themeShade="95"/>
        <w:sz w:val="22"/>
      </w:rPr>
      <w:tblPr/>
      <w:tcPr>
        <w:shd w:val="clear" w:color="BCE6FD" w:fill="BCE6FD" w:themeFill="accent2" w:themeFillTint="32"/>
      </w:tcPr>
    </w:tblStylePr>
    <w:tblStylePr w:type="band2Horz">
      <w:rPr>
        <w:color w:val="36B3FB" w:themeColor="accent2" w:themeTint="97" w:themeShade="95"/>
        <w:sz w:val="22"/>
      </w:rPr>
    </w:tblStylePr>
  </w:style>
  <w:style w:type="table" w:customStyle="1" w:styleId="GridTable7Colorful-Accent3">
    <w:name w:val="Grid Table 7 Colorful - Accent 3"/>
    <w:uiPriority w:val="99"/>
    <w:rsid w:val="00B52DE3"/>
    <w:tblPr>
      <w:tblStyleRowBandSize w:val="1"/>
      <w:tblStyleColBandSize w:val="1"/>
      <w:tblBorders>
        <w:bottom w:val="single" w:sz="4" w:space="0" w:color="A43E03" w:themeColor="accent3" w:themeTint="FE"/>
        <w:right w:val="single" w:sz="4" w:space="0" w:color="A43E03" w:themeColor="accent3" w:themeTint="FE"/>
        <w:insideH w:val="single" w:sz="4" w:space="0" w:color="A43E03" w:themeColor="accent3" w:themeTint="FE"/>
        <w:insideV w:val="single" w:sz="4" w:space="0" w:color="A43E03" w:themeColor="accent3" w:themeTint="FE"/>
      </w:tblBorders>
      <w:tblCellMar>
        <w:top w:w="0" w:type="dxa"/>
        <w:left w:w="0" w:type="dxa"/>
        <w:bottom w:w="0" w:type="dxa"/>
        <w:right w:w="0" w:type="dxa"/>
      </w:tblCellMar>
    </w:tblPr>
    <w:tblStylePr w:type="firstRow">
      <w:rPr>
        <w:b/>
        <w:color w:val="A43E03" w:themeColor="accent3" w:themeTint="FE" w:themeShade="95"/>
        <w:sz w:val="22"/>
      </w:rPr>
      <w:tblPr/>
      <w:tcPr>
        <w:tcBorders>
          <w:top w:val="none" w:sz="4" w:space="0" w:color="000000"/>
          <w:left w:val="none" w:sz="4" w:space="0" w:color="000000"/>
          <w:bottom w:val="single" w:sz="4" w:space="0" w:color="A33E03" w:themeColor="accent3"/>
          <w:right w:val="none" w:sz="4" w:space="0" w:color="000000"/>
        </w:tcBorders>
        <w:shd w:val="clear" w:color="FFFFFF" w:fill="FFFFFF" w:themeFill="light1"/>
      </w:tcPr>
    </w:tblStylePr>
    <w:tblStylePr w:type="lastRow">
      <w:rPr>
        <w:b/>
        <w:color w:val="A43E03" w:themeColor="accent3" w:themeTint="FE" w:themeShade="95"/>
        <w:sz w:val="22"/>
      </w:rPr>
      <w:tblPr/>
      <w:tcPr>
        <w:tcBorders>
          <w:top w:val="single" w:sz="4" w:space="0" w:color="A33E03"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43E03" w:themeColor="accent3" w:themeTint="FE" w:themeShade="95"/>
        <w:sz w:val="22"/>
      </w:rPr>
      <w:tblPr/>
      <w:tcPr>
        <w:tcBorders>
          <w:top w:val="none" w:sz="4" w:space="0" w:color="000000"/>
          <w:left w:val="none" w:sz="4" w:space="0" w:color="000000"/>
          <w:bottom w:val="none" w:sz="4" w:space="0" w:color="000000"/>
          <w:right w:val="single" w:sz="4" w:space="0" w:color="A33E03" w:themeColor="accent3"/>
        </w:tcBorders>
        <w:shd w:val="clear" w:color="FFFFFF" w:fill="auto"/>
      </w:tcPr>
    </w:tblStylePr>
    <w:tblStylePr w:type="lastCol">
      <w:rPr>
        <w:i/>
        <w:color w:val="A43E03" w:themeColor="accent3" w:themeTint="FE" w:themeShade="95"/>
        <w:sz w:val="22"/>
      </w:rPr>
      <w:tblPr/>
      <w:tcPr>
        <w:tcBorders>
          <w:top w:val="none" w:sz="4" w:space="0" w:color="000000"/>
          <w:left w:val="single" w:sz="4" w:space="0" w:color="A33E03" w:themeColor="accent3"/>
          <w:bottom w:val="none" w:sz="4" w:space="0" w:color="000000"/>
          <w:right w:val="none" w:sz="4" w:space="0" w:color="000000"/>
        </w:tcBorders>
        <w:shd w:val="clear" w:color="FFFFFF" w:fill="auto"/>
      </w:tcPr>
    </w:tblStylePr>
    <w:tblStylePr w:type="band1Vert">
      <w:tblPr/>
      <w:tcPr>
        <w:shd w:val="clear" w:color="FDD2B9" w:fill="FDD2B9" w:themeFill="accent3" w:themeFillTint="34"/>
      </w:tcPr>
    </w:tblStylePr>
    <w:tblStylePr w:type="band1Horz">
      <w:rPr>
        <w:color w:val="A43E03" w:themeColor="accent3" w:themeTint="FE" w:themeShade="95"/>
        <w:sz w:val="22"/>
      </w:rPr>
      <w:tblPr/>
      <w:tcPr>
        <w:shd w:val="clear" w:color="FDD2B9" w:fill="FDD2B9" w:themeFill="accent3" w:themeFillTint="34"/>
      </w:tcPr>
    </w:tblStylePr>
    <w:tblStylePr w:type="band2Horz">
      <w:rPr>
        <w:color w:val="A43E03" w:themeColor="accent3" w:themeTint="FE" w:themeShade="95"/>
        <w:sz w:val="22"/>
      </w:rPr>
    </w:tblStylePr>
  </w:style>
  <w:style w:type="table" w:customStyle="1" w:styleId="GridTable7Colorful-Accent4">
    <w:name w:val="Grid Table 7 Colorful - Accent 4"/>
    <w:uiPriority w:val="99"/>
    <w:rsid w:val="00B52DE3"/>
    <w:tblPr>
      <w:tblStyleRowBandSize w:val="1"/>
      <w:tblStyleColBandSize w:val="1"/>
      <w:tblBorders>
        <w:bottom w:val="single" w:sz="4" w:space="0" w:color="E032FB" w:themeColor="accent4" w:themeTint="9A"/>
        <w:right w:val="single" w:sz="4" w:space="0" w:color="E032FB" w:themeColor="accent4" w:themeTint="9A"/>
        <w:insideH w:val="single" w:sz="4" w:space="0" w:color="E032FB" w:themeColor="accent4" w:themeTint="9A"/>
        <w:insideV w:val="single" w:sz="4" w:space="0" w:color="E032FB" w:themeColor="accent4" w:themeTint="9A"/>
      </w:tblBorders>
      <w:tblCellMar>
        <w:top w:w="0" w:type="dxa"/>
        <w:left w:w="0" w:type="dxa"/>
        <w:bottom w:w="0" w:type="dxa"/>
        <w:right w:w="0" w:type="dxa"/>
      </w:tblCellMar>
    </w:tblPr>
    <w:tblStylePr w:type="firstRow">
      <w:rPr>
        <w:b/>
        <w:color w:val="E032FB" w:themeColor="accent4" w:themeTint="9A" w:themeShade="95"/>
        <w:sz w:val="22"/>
      </w:rPr>
      <w:tblPr/>
      <w:tcPr>
        <w:tcBorders>
          <w:top w:val="none" w:sz="4" w:space="0" w:color="000000"/>
          <w:left w:val="none" w:sz="4" w:space="0" w:color="000000"/>
          <w:bottom w:val="single" w:sz="4" w:space="0" w:color="8E03A3" w:themeColor="accent4"/>
          <w:right w:val="none" w:sz="4" w:space="0" w:color="000000"/>
        </w:tcBorders>
        <w:shd w:val="clear" w:color="FFFFFF" w:fill="FFFFFF" w:themeFill="light1"/>
      </w:tcPr>
    </w:tblStylePr>
    <w:tblStylePr w:type="lastRow">
      <w:rPr>
        <w:b/>
        <w:color w:val="E032FB" w:themeColor="accent4" w:themeTint="9A" w:themeShade="95"/>
        <w:sz w:val="22"/>
      </w:rPr>
      <w:tblPr/>
      <w:tcPr>
        <w:tcBorders>
          <w:top w:val="single" w:sz="4" w:space="0" w:color="8E03A3"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E032FB" w:themeColor="accent4" w:themeTint="9A" w:themeShade="95"/>
        <w:sz w:val="22"/>
      </w:rPr>
      <w:tblPr/>
      <w:tcPr>
        <w:tcBorders>
          <w:top w:val="none" w:sz="4" w:space="0" w:color="000000"/>
          <w:left w:val="none" w:sz="4" w:space="0" w:color="000000"/>
          <w:bottom w:val="none" w:sz="4" w:space="0" w:color="000000"/>
          <w:right w:val="single" w:sz="4" w:space="0" w:color="8E03A3" w:themeColor="accent4"/>
        </w:tcBorders>
        <w:shd w:val="clear" w:color="FFFFFF" w:fill="auto"/>
      </w:tcPr>
    </w:tblStylePr>
    <w:tblStylePr w:type="lastCol">
      <w:rPr>
        <w:i/>
        <w:color w:val="E032FB" w:themeColor="accent4" w:themeTint="9A" w:themeShade="95"/>
        <w:sz w:val="22"/>
      </w:rPr>
      <w:tblPr/>
      <w:tcPr>
        <w:tcBorders>
          <w:top w:val="none" w:sz="4" w:space="0" w:color="000000"/>
          <w:left w:val="single" w:sz="4" w:space="0" w:color="8E03A3" w:themeColor="accent4"/>
          <w:bottom w:val="none" w:sz="4" w:space="0" w:color="000000"/>
          <w:right w:val="none" w:sz="4" w:space="0" w:color="000000"/>
        </w:tcBorders>
        <w:shd w:val="clear" w:color="FFFFFF" w:fill="auto"/>
      </w:tcPr>
    </w:tblStylePr>
    <w:tblStylePr w:type="band1Vert">
      <w:tblPr/>
      <w:tcPr>
        <w:shd w:val="clear" w:color="F4B9FD" w:fill="F4B9FD" w:themeFill="accent4" w:themeFillTint="34"/>
      </w:tcPr>
    </w:tblStylePr>
    <w:tblStylePr w:type="band1Horz">
      <w:rPr>
        <w:color w:val="E032FB" w:themeColor="accent4" w:themeTint="9A" w:themeShade="95"/>
        <w:sz w:val="22"/>
      </w:rPr>
      <w:tblPr/>
      <w:tcPr>
        <w:shd w:val="clear" w:color="F4B9FD" w:fill="F4B9FD" w:themeFill="accent4" w:themeFillTint="34"/>
      </w:tcPr>
    </w:tblStylePr>
    <w:tblStylePr w:type="band2Horz">
      <w:rPr>
        <w:color w:val="E032FB" w:themeColor="accent4" w:themeTint="9A" w:themeShade="95"/>
        <w:sz w:val="22"/>
      </w:rPr>
    </w:tblStylePr>
  </w:style>
  <w:style w:type="table" w:customStyle="1" w:styleId="GridTable7Colorful-Accent5">
    <w:name w:val="Grid Table 7 Colorful - Accent 5"/>
    <w:uiPriority w:val="99"/>
    <w:rsid w:val="00B52DE3"/>
    <w:tblPr>
      <w:tblStyleRowBandSize w:val="1"/>
      <w:tblStyleColBandSize w:val="1"/>
      <w:tblBorders>
        <w:bottom w:val="single" w:sz="4" w:space="0" w:color="FFD750" w:themeColor="accent5" w:themeTint="90"/>
        <w:right w:val="single" w:sz="4" w:space="0" w:color="FFD750" w:themeColor="accent5" w:themeTint="90"/>
        <w:insideH w:val="single" w:sz="4" w:space="0" w:color="FFD750" w:themeColor="accent5" w:themeTint="90"/>
        <w:insideV w:val="single" w:sz="4" w:space="0" w:color="FFD750" w:themeColor="accent5" w:themeTint="90"/>
      </w:tblBorders>
      <w:tblCellMar>
        <w:top w:w="0" w:type="dxa"/>
        <w:left w:w="0" w:type="dxa"/>
        <w:bottom w:w="0" w:type="dxa"/>
        <w:right w:w="0" w:type="dxa"/>
      </w:tblCellMar>
    </w:tblPr>
    <w:tblStylePr w:type="firstRow">
      <w:rPr>
        <w:b/>
        <w:color w:val="755A00" w:themeColor="accent5" w:themeShade="95"/>
        <w:sz w:val="22"/>
      </w:rPr>
      <w:tblPr/>
      <w:tcPr>
        <w:tcBorders>
          <w:top w:val="none" w:sz="4" w:space="0" w:color="000000"/>
          <w:left w:val="none" w:sz="4" w:space="0" w:color="000000"/>
          <w:bottom w:val="single" w:sz="4" w:space="0" w:color="C99C00" w:themeColor="accent5"/>
          <w:right w:val="none" w:sz="4" w:space="0" w:color="000000"/>
        </w:tcBorders>
        <w:shd w:val="clear" w:color="FFFFFF" w:fill="FFFFFF" w:themeFill="light1"/>
      </w:tcPr>
    </w:tblStylePr>
    <w:tblStylePr w:type="lastRow">
      <w:rPr>
        <w:b/>
        <w:color w:val="755A00" w:themeColor="accent5" w:themeShade="95"/>
        <w:sz w:val="22"/>
      </w:rPr>
      <w:tblPr/>
      <w:tcPr>
        <w:tcBorders>
          <w:top w:val="single" w:sz="4" w:space="0" w:color="C99C00"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55A00" w:themeColor="accent5" w:themeShade="95"/>
        <w:sz w:val="22"/>
      </w:rPr>
      <w:tblPr/>
      <w:tcPr>
        <w:tcBorders>
          <w:top w:val="none" w:sz="4" w:space="0" w:color="000000"/>
          <w:left w:val="none" w:sz="4" w:space="0" w:color="000000"/>
          <w:bottom w:val="none" w:sz="4" w:space="0" w:color="000000"/>
          <w:right w:val="single" w:sz="4" w:space="0" w:color="C99C00" w:themeColor="accent5"/>
        </w:tcBorders>
        <w:shd w:val="clear" w:color="FFFFFF" w:fill="auto"/>
      </w:tcPr>
    </w:tblStylePr>
    <w:tblStylePr w:type="lastCol">
      <w:rPr>
        <w:i/>
        <w:color w:val="755A00" w:themeColor="accent5" w:themeShade="95"/>
        <w:sz w:val="22"/>
      </w:rPr>
      <w:tblPr/>
      <w:tcPr>
        <w:tcBorders>
          <w:top w:val="none" w:sz="4" w:space="0" w:color="000000"/>
          <w:left w:val="single" w:sz="4" w:space="0" w:color="C99C00" w:themeColor="accent5"/>
          <w:bottom w:val="none" w:sz="4" w:space="0" w:color="000000"/>
          <w:right w:val="none" w:sz="4" w:space="0" w:color="000000"/>
        </w:tcBorders>
        <w:shd w:val="clear" w:color="FFFFFF" w:fill="auto"/>
      </w:tcPr>
    </w:tblStylePr>
    <w:tblStylePr w:type="band1Vert">
      <w:tblPr/>
      <w:tcPr>
        <w:shd w:val="clear" w:color="FFF0BF" w:fill="FFF0BF" w:themeFill="accent5" w:themeFillTint="34"/>
      </w:tcPr>
    </w:tblStylePr>
    <w:tblStylePr w:type="band1Horz">
      <w:rPr>
        <w:color w:val="755A00" w:themeColor="accent5" w:themeShade="95"/>
        <w:sz w:val="22"/>
      </w:rPr>
      <w:tblPr/>
      <w:tcPr>
        <w:shd w:val="clear" w:color="FFF0BF" w:fill="FFF0BF" w:themeFill="accent5" w:themeFillTint="34"/>
      </w:tcPr>
    </w:tblStylePr>
    <w:tblStylePr w:type="band2Horz">
      <w:rPr>
        <w:color w:val="755A00" w:themeColor="accent5" w:themeShade="95"/>
        <w:sz w:val="22"/>
      </w:rPr>
    </w:tblStylePr>
  </w:style>
  <w:style w:type="table" w:customStyle="1" w:styleId="GridTable7Colorful-Accent6">
    <w:name w:val="Grid Table 7 Colorful - Accent 6"/>
    <w:uiPriority w:val="99"/>
    <w:rsid w:val="00B52DE3"/>
    <w:tblPr>
      <w:tblStyleRowBandSize w:val="1"/>
      <w:tblStyleColBandSize w:val="1"/>
      <w:tblBorders>
        <w:bottom w:val="single" w:sz="4" w:space="0" w:color="EA7775" w:themeColor="accent6" w:themeTint="90"/>
        <w:right w:val="single" w:sz="4" w:space="0" w:color="EA7775" w:themeColor="accent6" w:themeTint="90"/>
        <w:insideH w:val="single" w:sz="4" w:space="0" w:color="EA7775" w:themeColor="accent6" w:themeTint="90"/>
        <w:insideV w:val="single" w:sz="4" w:space="0" w:color="EA7775" w:themeColor="accent6" w:themeTint="90"/>
      </w:tblBorders>
      <w:tblCellMar>
        <w:top w:w="0" w:type="dxa"/>
        <w:left w:w="0" w:type="dxa"/>
        <w:bottom w:w="0" w:type="dxa"/>
        <w:right w:w="0" w:type="dxa"/>
      </w:tblCellMar>
    </w:tblPr>
    <w:tblStylePr w:type="firstRow">
      <w:rPr>
        <w:b/>
        <w:color w:val="751311" w:themeColor="accent6" w:themeShade="95"/>
        <w:sz w:val="22"/>
      </w:rPr>
      <w:tblPr/>
      <w:tcPr>
        <w:tcBorders>
          <w:top w:val="none" w:sz="4" w:space="0" w:color="000000"/>
          <w:left w:val="none" w:sz="4" w:space="0" w:color="000000"/>
          <w:bottom w:val="single" w:sz="4" w:space="0" w:color="C9211E" w:themeColor="accent6"/>
          <w:right w:val="none" w:sz="4" w:space="0" w:color="000000"/>
        </w:tcBorders>
        <w:shd w:val="clear" w:color="FFFFFF" w:fill="FFFFFF" w:themeFill="light1"/>
      </w:tcPr>
    </w:tblStylePr>
    <w:tblStylePr w:type="lastRow">
      <w:rPr>
        <w:b/>
        <w:color w:val="751311" w:themeColor="accent6" w:themeShade="95"/>
        <w:sz w:val="22"/>
      </w:rPr>
      <w:tblPr/>
      <w:tcPr>
        <w:tcBorders>
          <w:top w:val="single" w:sz="4" w:space="0" w:color="C9211E"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51311" w:themeColor="accent6" w:themeShade="95"/>
        <w:sz w:val="22"/>
      </w:rPr>
      <w:tblPr/>
      <w:tcPr>
        <w:tcBorders>
          <w:top w:val="none" w:sz="4" w:space="0" w:color="000000"/>
          <w:left w:val="none" w:sz="4" w:space="0" w:color="000000"/>
          <w:bottom w:val="none" w:sz="4" w:space="0" w:color="000000"/>
          <w:right w:val="single" w:sz="4" w:space="0" w:color="C9211E" w:themeColor="accent6"/>
        </w:tcBorders>
        <w:shd w:val="clear" w:color="FFFFFF" w:fill="auto"/>
      </w:tcPr>
    </w:tblStylePr>
    <w:tblStylePr w:type="lastCol">
      <w:rPr>
        <w:i/>
        <w:color w:val="751311" w:themeColor="accent6" w:themeShade="95"/>
        <w:sz w:val="22"/>
      </w:rPr>
      <w:tblPr/>
      <w:tcPr>
        <w:tcBorders>
          <w:top w:val="none" w:sz="4" w:space="0" w:color="000000"/>
          <w:left w:val="single" w:sz="4" w:space="0" w:color="C9211E" w:themeColor="accent6"/>
          <w:bottom w:val="none" w:sz="4" w:space="0" w:color="000000"/>
          <w:right w:val="none" w:sz="4" w:space="0" w:color="000000"/>
        </w:tcBorders>
        <w:shd w:val="clear" w:color="FFFFFF" w:fill="auto"/>
      </w:tcPr>
    </w:tblStylePr>
    <w:tblStylePr w:type="band1Vert">
      <w:tblPr/>
      <w:tcPr>
        <w:shd w:val="clear" w:color="F7CDCD" w:fill="F7CDCD" w:themeFill="accent6" w:themeFillTint="34"/>
      </w:tcPr>
    </w:tblStylePr>
    <w:tblStylePr w:type="band1Horz">
      <w:rPr>
        <w:color w:val="751311" w:themeColor="accent6" w:themeShade="95"/>
        <w:sz w:val="22"/>
      </w:rPr>
      <w:tblPr/>
      <w:tcPr>
        <w:shd w:val="clear" w:color="F7CDCD" w:fill="F7CDCD" w:themeFill="accent6" w:themeFillTint="34"/>
      </w:tcPr>
    </w:tblStylePr>
    <w:tblStylePr w:type="band2Horz">
      <w:rPr>
        <w:color w:val="751311" w:themeColor="accent6" w:themeShade="95"/>
        <w:sz w:val="22"/>
      </w:rPr>
    </w:tblStylePr>
  </w:style>
  <w:style w:type="table" w:customStyle="1" w:styleId="ListTable1Light">
    <w:name w:val="List Table 1 Light"/>
    <w:uiPriority w:val="99"/>
    <w:rsid w:val="00B52DE3"/>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uiPriority w:val="99"/>
    <w:rsid w:val="00B52DE3"/>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18A303" w:themeColor="accent1"/>
          <w:right w:val="none" w:sz="4" w:space="0" w:color="000000"/>
        </w:tcBorders>
      </w:tcPr>
    </w:tblStylePr>
    <w:tblStylePr w:type="lastRow">
      <w:rPr>
        <w:b/>
      </w:rPr>
      <w:tblPr/>
      <w:tcPr>
        <w:tcBorders>
          <w:top w:val="single" w:sz="4" w:space="0" w:color="18A303"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4FDA9" w:fill="B4FDA9" w:themeFill="accent1" w:themeFillTint="40"/>
      </w:tcPr>
    </w:tblStylePr>
    <w:tblStylePr w:type="band1Horz">
      <w:tblPr/>
      <w:tcPr>
        <w:shd w:val="clear" w:color="B4FDA9" w:fill="B4FDA9" w:themeFill="accent1" w:themeFillTint="40"/>
      </w:tcPr>
    </w:tblStylePr>
  </w:style>
  <w:style w:type="table" w:customStyle="1" w:styleId="ListTable1Light-Accent2">
    <w:name w:val="List Table 1 Light - Accent 2"/>
    <w:uiPriority w:val="99"/>
    <w:rsid w:val="00B52DE3"/>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369A3" w:themeColor="accent2"/>
          <w:right w:val="none" w:sz="4" w:space="0" w:color="000000"/>
        </w:tcBorders>
      </w:tcPr>
    </w:tblStylePr>
    <w:tblStylePr w:type="lastRow">
      <w:rPr>
        <w:b/>
      </w:rPr>
      <w:tblPr/>
      <w:tcPr>
        <w:tcBorders>
          <w:top w:val="single" w:sz="4" w:space="0" w:color="0369A3"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A9DEFD" w:fill="A9DEFD" w:themeFill="accent2" w:themeFillTint="40"/>
      </w:tcPr>
    </w:tblStylePr>
    <w:tblStylePr w:type="band1Horz">
      <w:tblPr/>
      <w:tcPr>
        <w:shd w:val="clear" w:color="A9DEFD" w:fill="A9DEFD" w:themeFill="accent2" w:themeFillTint="40"/>
      </w:tcPr>
    </w:tblStylePr>
  </w:style>
  <w:style w:type="table" w:customStyle="1" w:styleId="ListTable1Light-Accent3">
    <w:name w:val="List Table 1 Light - Accent 3"/>
    <w:uiPriority w:val="99"/>
    <w:rsid w:val="00B52DE3"/>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A33E03" w:themeColor="accent3"/>
          <w:right w:val="none" w:sz="4" w:space="0" w:color="000000"/>
        </w:tcBorders>
      </w:tcPr>
    </w:tblStylePr>
    <w:tblStylePr w:type="lastRow">
      <w:rPr>
        <w:b/>
      </w:rPr>
      <w:tblPr/>
      <w:tcPr>
        <w:tcBorders>
          <w:top w:val="single" w:sz="4" w:space="0" w:color="A33E03"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DC8A9" w:fill="FDC8A9" w:themeFill="accent3" w:themeFillTint="40"/>
      </w:tcPr>
    </w:tblStylePr>
    <w:tblStylePr w:type="band1Horz">
      <w:tblPr/>
      <w:tcPr>
        <w:shd w:val="clear" w:color="FDC8A9" w:fill="FDC8A9" w:themeFill="accent3" w:themeFillTint="40"/>
      </w:tcPr>
    </w:tblStylePr>
  </w:style>
  <w:style w:type="table" w:customStyle="1" w:styleId="ListTable1Light-Accent4">
    <w:name w:val="List Table 1 Light - Accent 4"/>
    <w:uiPriority w:val="99"/>
    <w:rsid w:val="00B52DE3"/>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8E03A3" w:themeColor="accent4"/>
          <w:right w:val="none" w:sz="4" w:space="0" w:color="000000"/>
        </w:tcBorders>
      </w:tcPr>
    </w:tblStylePr>
    <w:tblStylePr w:type="lastRow">
      <w:rPr>
        <w:b/>
      </w:rPr>
      <w:tblPr/>
      <w:tcPr>
        <w:tcBorders>
          <w:top w:val="single" w:sz="4" w:space="0" w:color="8E03A3"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2A9FD" w:fill="F2A9FD" w:themeFill="accent4" w:themeFillTint="40"/>
      </w:tcPr>
    </w:tblStylePr>
    <w:tblStylePr w:type="band1Horz">
      <w:tblPr/>
      <w:tcPr>
        <w:shd w:val="clear" w:color="F2A9FD" w:fill="F2A9FD" w:themeFill="accent4" w:themeFillTint="40"/>
      </w:tcPr>
    </w:tblStylePr>
  </w:style>
  <w:style w:type="table" w:customStyle="1" w:styleId="ListTable1Light-Accent5">
    <w:name w:val="List Table 1 Light - Accent 5"/>
    <w:uiPriority w:val="99"/>
    <w:rsid w:val="00B52DE3"/>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C99C00" w:themeColor="accent5"/>
          <w:right w:val="none" w:sz="4" w:space="0" w:color="000000"/>
        </w:tcBorders>
      </w:tcPr>
    </w:tblStylePr>
    <w:tblStylePr w:type="lastRow">
      <w:rPr>
        <w:b/>
      </w:rPr>
      <w:tblPr/>
      <w:tcPr>
        <w:tcBorders>
          <w:top w:val="single" w:sz="4" w:space="0" w:color="C99C00"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DB1" w:fill="FFEDB1" w:themeFill="accent5" w:themeFillTint="40"/>
      </w:tcPr>
    </w:tblStylePr>
    <w:tblStylePr w:type="band1Horz">
      <w:tblPr/>
      <w:tcPr>
        <w:shd w:val="clear" w:color="FFEDB1" w:fill="FFEDB1" w:themeFill="accent5" w:themeFillTint="40"/>
      </w:tcPr>
    </w:tblStylePr>
  </w:style>
  <w:style w:type="table" w:customStyle="1" w:styleId="ListTable1Light-Accent6">
    <w:name w:val="List Table 1 Light - Accent 6"/>
    <w:uiPriority w:val="99"/>
    <w:rsid w:val="00B52DE3"/>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C9211E" w:themeColor="accent6"/>
          <w:right w:val="none" w:sz="4" w:space="0" w:color="000000"/>
        </w:tcBorders>
      </w:tcPr>
    </w:tblStylePr>
    <w:tblStylePr w:type="lastRow">
      <w:rPr>
        <w:b/>
      </w:rPr>
      <w:tblPr/>
      <w:tcPr>
        <w:tcBorders>
          <w:top w:val="single" w:sz="4" w:space="0" w:color="C9211E"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6C2C1" w:fill="F6C2C1" w:themeFill="accent6" w:themeFillTint="40"/>
      </w:tcPr>
    </w:tblStylePr>
    <w:tblStylePr w:type="band1Horz">
      <w:tblPr/>
      <w:tcPr>
        <w:shd w:val="clear" w:color="F6C2C1" w:fill="F6C2C1" w:themeFill="accent6" w:themeFillTint="40"/>
      </w:tcPr>
    </w:tblStylePr>
  </w:style>
  <w:style w:type="table" w:customStyle="1" w:styleId="ListTable2">
    <w:name w:val="List Table 2"/>
    <w:uiPriority w:val="99"/>
    <w:rsid w:val="00B52DE3"/>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uiPriority w:val="99"/>
    <w:rsid w:val="00B52DE3"/>
    <w:tblPr>
      <w:tblStyleRowBandSize w:val="1"/>
      <w:tblStyleColBandSize w:val="1"/>
      <w:tblBorders>
        <w:top w:val="single" w:sz="4" w:space="0" w:color="58FB40" w:themeColor="accent1" w:themeTint="90"/>
        <w:bottom w:val="single" w:sz="4" w:space="0" w:color="58FB40" w:themeColor="accent1" w:themeTint="90"/>
        <w:insideH w:val="single" w:sz="4" w:space="0" w:color="58FB40" w:themeColor="accent1" w:themeTint="90"/>
      </w:tblBorders>
      <w:tblCellMar>
        <w:top w:w="0" w:type="dxa"/>
        <w:left w:w="0" w:type="dxa"/>
        <w:bottom w:w="0" w:type="dxa"/>
        <w:right w:w="0" w:type="dxa"/>
      </w:tblCellMar>
    </w:tblPr>
    <w:tblStylePr w:type="firstRow">
      <w:rPr>
        <w:b/>
        <w:sz w:val="22"/>
      </w:rPr>
      <w:tblPr/>
      <w:tcPr>
        <w:tcBorders>
          <w:top w:val="single" w:sz="4" w:space="0" w:color="18A303" w:themeColor="accent1"/>
          <w:left w:val="none" w:sz="4" w:space="0" w:color="000000"/>
          <w:bottom w:val="single" w:sz="4" w:space="0" w:color="18A303" w:themeColor="accent1"/>
          <w:right w:val="none" w:sz="4" w:space="0" w:color="000000"/>
        </w:tcBorders>
      </w:tcPr>
    </w:tblStylePr>
    <w:tblStylePr w:type="lastRow">
      <w:rPr>
        <w:b/>
        <w:sz w:val="22"/>
      </w:rPr>
      <w:tblPr/>
      <w:tcPr>
        <w:tcBorders>
          <w:top w:val="single" w:sz="4" w:space="0" w:color="18A303" w:themeColor="accent1"/>
          <w:left w:val="none" w:sz="4" w:space="0" w:color="000000"/>
          <w:bottom w:val="single" w:sz="4" w:space="0" w:color="18A303"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4FDA9" w:fill="B4FDA9" w:themeFill="accent1" w:themeFillTint="40"/>
      </w:tcPr>
    </w:tblStylePr>
    <w:tblStylePr w:type="band1Horz">
      <w:rPr>
        <w:sz w:val="22"/>
      </w:rPr>
      <w:tblPr/>
      <w:tcPr>
        <w:shd w:val="clear" w:color="B4FDA9" w:fill="B4FDA9" w:themeFill="accent1" w:themeFillTint="40"/>
      </w:tcPr>
    </w:tblStylePr>
  </w:style>
  <w:style w:type="table" w:customStyle="1" w:styleId="ListTable2-Accent2">
    <w:name w:val="List Table 2 - Accent 2"/>
    <w:uiPriority w:val="99"/>
    <w:rsid w:val="00B52DE3"/>
    <w:tblPr>
      <w:tblStyleRowBandSize w:val="1"/>
      <w:tblStyleColBandSize w:val="1"/>
      <w:tblBorders>
        <w:top w:val="single" w:sz="4" w:space="0" w:color="40B7FB" w:themeColor="accent2" w:themeTint="90"/>
        <w:bottom w:val="single" w:sz="4" w:space="0" w:color="40B7FB" w:themeColor="accent2" w:themeTint="90"/>
        <w:insideH w:val="single" w:sz="4" w:space="0" w:color="40B7FB" w:themeColor="accent2" w:themeTint="90"/>
      </w:tblBorders>
      <w:tblCellMar>
        <w:top w:w="0" w:type="dxa"/>
        <w:left w:w="0" w:type="dxa"/>
        <w:bottom w:w="0" w:type="dxa"/>
        <w:right w:w="0" w:type="dxa"/>
      </w:tblCellMar>
    </w:tblPr>
    <w:tblStylePr w:type="firstRow">
      <w:rPr>
        <w:b/>
        <w:sz w:val="22"/>
      </w:rPr>
      <w:tblPr/>
      <w:tcPr>
        <w:tcBorders>
          <w:top w:val="single" w:sz="4" w:space="0" w:color="0369A3" w:themeColor="accent2"/>
          <w:left w:val="none" w:sz="4" w:space="0" w:color="000000"/>
          <w:bottom w:val="single" w:sz="4" w:space="0" w:color="0369A3" w:themeColor="accent2"/>
          <w:right w:val="none" w:sz="4" w:space="0" w:color="000000"/>
        </w:tcBorders>
      </w:tcPr>
    </w:tblStylePr>
    <w:tblStylePr w:type="lastRow">
      <w:rPr>
        <w:b/>
        <w:sz w:val="22"/>
      </w:rPr>
      <w:tblPr/>
      <w:tcPr>
        <w:tcBorders>
          <w:top w:val="single" w:sz="4" w:space="0" w:color="0369A3" w:themeColor="accent2"/>
          <w:left w:val="none" w:sz="4" w:space="0" w:color="000000"/>
          <w:bottom w:val="single" w:sz="4" w:space="0" w:color="0369A3"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A9DEFD" w:fill="A9DEFD" w:themeFill="accent2" w:themeFillTint="40"/>
      </w:tcPr>
    </w:tblStylePr>
    <w:tblStylePr w:type="band1Horz">
      <w:rPr>
        <w:sz w:val="22"/>
      </w:rPr>
      <w:tblPr/>
      <w:tcPr>
        <w:shd w:val="clear" w:color="A9DEFD" w:fill="A9DEFD" w:themeFill="accent2" w:themeFillTint="40"/>
      </w:tcPr>
    </w:tblStylePr>
  </w:style>
  <w:style w:type="table" w:customStyle="1" w:styleId="ListTable2-Accent3">
    <w:name w:val="List Table 2 - Accent 3"/>
    <w:uiPriority w:val="99"/>
    <w:rsid w:val="00B52DE3"/>
    <w:tblPr>
      <w:tblStyleRowBandSize w:val="1"/>
      <w:tblStyleColBandSize w:val="1"/>
      <w:tblBorders>
        <w:top w:val="single" w:sz="4" w:space="0" w:color="FB8540" w:themeColor="accent3" w:themeTint="90"/>
        <w:bottom w:val="single" w:sz="4" w:space="0" w:color="FB8540" w:themeColor="accent3" w:themeTint="90"/>
        <w:insideH w:val="single" w:sz="4" w:space="0" w:color="FB8540" w:themeColor="accent3" w:themeTint="90"/>
      </w:tblBorders>
      <w:tblCellMar>
        <w:top w:w="0" w:type="dxa"/>
        <w:left w:w="0" w:type="dxa"/>
        <w:bottom w:w="0" w:type="dxa"/>
        <w:right w:w="0" w:type="dxa"/>
      </w:tblCellMar>
    </w:tblPr>
    <w:tblStylePr w:type="firstRow">
      <w:rPr>
        <w:b/>
        <w:sz w:val="22"/>
      </w:rPr>
      <w:tblPr/>
      <w:tcPr>
        <w:tcBorders>
          <w:top w:val="single" w:sz="4" w:space="0" w:color="A33E03" w:themeColor="accent3"/>
          <w:left w:val="none" w:sz="4" w:space="0" w:color="000000"/>
          <w:bottom w:val="single" w:sz="4" w:space="0" w:color="A33E03" w:themeColor="accent3"/>
          <w:right w:val="none" w:sz="4" w:space="0" w:color="000000"/>
        </w:tcBorders>
      </w:tcPr>
    </w:tblStylePr>
    <w:tblStylePr w:type="lastRow">
      <w:rPr>
        <w:b/>
        <w:sz w:val="22"/>
      </w:rPr>
      <w:tblPr/>
      <w:tcPr>
        <w:tcBorders>
          <w:top w:val="single" w:sz="4" w:space="0" w:color="A33E03" w:themeColor="accent3"/>
          <w:left w:val="none" w:sz="4" w:space="0" w:color="000000"/>
          <w:bottom w:val="single" w:sz="4" w:space="0" w:color="A33E03"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DC8A9" w:fill="FDC8A9" w:themeFill="accent3" w:themeFillTint="40"/>
      </w:tcPr>
    </w:tblStylePr>
    <w:tblStylePr w:type="band1Horz">
      <w:rPr>
        <w:sz w:val="22"/>
      </w:rPr>
      <w:tblPr/>
      <w:tcPr>
        <w:shd w:val="clear" w:color="FDC8A9" w:fill="FDC8A9" w:themeFill="accent3" w:themeFillTint="40"/>
      </w:tcPr>
    </w:tblStylePr>
  </w:style>
  <w:style w:type="table" w:customStyle="1" w:styleId="ListTable2-Accent4">
    <w:name w:val="List Table 2 - Accent 4"/>
    <w:uiPriority w:val="99"/>
    <w:rsid w:val="00B52DE3"/>
    <w:tblPr>
      <w:tblStyleRowBandSize w:val="1"/>
      <w:tblStyleColBandSize w:val="1"/>
      <w:tblBorders>
        <w:top w:val="single" w:sz="4" w:space="0" w:color="E240FB" w:themeColor="accent4" w:themeTint="90"/>
        <w:bottom w:val="single" w:sz="4" w:space="0" w:color="E240FB" w:themeColor="accent4" w:themeTint="90"/>
        <w:insideH w:val="single" w:sz="4" w:space="0" w:color="E240FB" w:themeColor="accent4" w:themeTint="90"/>
      </w:tblBorders>
      <w:tblCellMar>
        <w:top w:w="0" w:type="dxa"/>
        <w:left w:w="0" w:type="dxa"/>
        <w:bottom w:w="0" w:type="dxa"/>
        <w:right w:w="0" w:type="dxa"/>
      </w:tblCellMar>
    </w:tblPr>
    <w:tblStylePr w:type="firstRow">
      <w:rPr>
        <w:b/>
        <w:sz w:val="22"/>
      </w:rPr>
      <w:tblPr/>
      <w:tcPr>
        <w:tcBorders>
          <w:top w:val="single" w:sz="4" w:space="0" w:color="8E03A3" w:themeColor="accent4"/>
          <w:left w:val="none" w:sz="4" w:space="0" w:color="000000"/>
          <w:bottom w:val="single" w:sz="4" w:space="0" w:color="8E03A3" w:themeColor="accent4"/>
          <w:right w:val="none" w:sz="4" w:space="0" w:color="000000"/>
        </w:tcBorders>
      </w:tcPr>
    </w:tblStylePr>
    <w:tblStylePr w:type="lastRow">
      <w:rPr>
        <w:b/>
        <w:sz w:val="22"/>
      </w:rPr>
      <w:tblPr/>
      <w:tcPr>
        <w:tcBorders>
          <w:top w:val="single" w:sz="4" w:space="0" w:color="8E03A3" w:themeColor="accent4"/>
          <w:left w:val="none" w:sz="4" w:space="0" w:color="000000"/>
          <w:bottom w:val="single" w:sz="4" w:space="0" w:color="8E03A3"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2A9FD" w:fill="F2A9FD" w:themeFill="accent4" w:themeFillTint="40"/>
      </w:tcPr>
    </w:tblStylePr>
    <w:tblStylePr w:type="band1Horz">
      <w:rPr>
        <w:sz w:val="22"/>
      </w:rPr>
      <w:tblPr/>
      <w:tcPr>
        <w:shd w:val="clear" w:color="F2A9FD" w:fill="F2A9FD" w:themeFill="accent4" w:themeFillTint="40"/>
      </w:tcPr>
    </w:tblStylePr>
  </w:style>
  <w:style w:type="table" w:customStyle="1" w:styleId="ListTable2-Accent5">
    <w:name w:val="List Table 2 - Accent 5"/>
    <w:uiPriority w:val="99"/>
    <w:rsid w:val="00B52DE3"/>
    <w:tblPr>
      <w:tblStyleRowBandSize w:val="1"/>
      <w:tblStyleColBandSize w:val="1"/>
      <w:tblBorders>
        <w:top w:val="single" w:sz="4" w:space="0" w:color="FFD750" w:themeColor="accent5" w:themeTint="90"/>
        <w:bottom w:val="single" w:sz="4" w:space="0" w:color="FFD750" w:themeColor="accent5" w:themeTint="90"/>
        <w:insideH w:val="single" w:sz="4" w:space="0" w:color="FFD750" w:themeColor="accent5" w:themeTint="90"/>
      </w:tblBorders>
      <w:tblCellMar>
        <w:top w:w="0" w:type="dxa"/>
        <w:left w:w="0" w:type="dxa"/>
        <w:bottom w:w="0" w:type="dxa"/>
        <w:right w:w="0" w:type="dxa"/>
      </w:tblCellMar>
    </w:tblPr>
    <w:tblStylePr w:type="firstRow">
      <w:rPr>
        <w:b/>
        <w:sz w:val="22"/>
      </w:rPr>
      <w:tblPr/>
      <w:tcPr>
        <w:tcBorders>
          <w:top w:val="single" w:sz="4" w:space="0" w:color="C99C00" w:themeColor="accent5"/>
          <w:left w:val="none" w:sz="4" w:space="0" w:color="000000"/>
          <w:bottom w:val="single" w:sz="4" w:space="0" w:color="C99C00" w:themeColor="accent5"/>
          <w:right w:val="none" w:sz="4" w:space="0" w:color="000000"/>
        </w:tcBorders>
      </w:tcPr>
    </w:tblStylePr>
    <w:tblStylePr w:type="lastRow">
      <w:rPr>
        <w:b/>
        <w:sz w:val="22"/>
      </w:rPr>
      <w:tblPr/>
      <w:tcPr>
        <w:tcBorders>
          <w:top w:val="single" w:sz="4" w:space="0" w:color="C99C00" w:themeColor="accent5"/>
          <w:left w:val="none" w:sz="4" w:space="0" w:color="000000"/>
          <w:bottom w:val="single" w:sz="4" w:space="0" w:color="C99C00"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DB1" w:fill="FFEDB1" w:themeFill="accent5" w:themeFillTint="40"/>
      </w:tcPr>
    </w:tblStylePr>
    <w:tblStylePr w:type="band1Horz">
      <w:rPr>
        <w:sz w:val="22"/>
      </w:rPr>
      <w:tblPr/>
      <w:tcPr>
        <w:shd w:val="clear" w:color="FFEDB1" w:fill="FFEDB1" w:themeFill="accent5" w:themeFillTint="40"/>
      </w:tcPr>
    </w:tblStylePr>
  </w:style>
  <w:style w:type="table" w:customStyle="1" w:styleId="ListTable2-Accent6">
    <w:name w:val="List Table 2 - Accent 6"/>
    <w:uiPriority w:val="99"/>
    <w:rsid w:val="00B52DE3"/>
    <w:tblPr>
      <w:tblStyleRowBandSize w:val="1"/>
      <w:tblStyleColBandSize w:val="1"/>
      <w:tblBorders>
        <w:top w:val="single" w:sz="4" w:space="0" w:color="EA7775" w:themeColor="accent6" w:themeTint="90"/>
        <w:bottom w:val="single" w:sz="4" w:space="0" w:color="EA7775" w:themeColor="accent6" w:themeTint="90"/>
        <w:insideH w:val="single" w:sz="4" w:space="0" w:color="EA7775" w:themeColor="accent6" w:themeTint="90"/>
      </w:tblBorders>
      <w:tblCellMar>
        <w:top w:w="0" w:type="dxa"/>
        <w:left w:w="0" w:type="dxa"/>
        <w:bottom w:w="0" w:type="dxa"/>
        <w:right w:w="0" w:type="dxa"/>
      </w:tblCellMar>
    </w:tblPr>
    <w:tblStylePr w:type="firstRow">
      <w:rPr>
        <w:b/>
        <w:sz w:val="22"/>
      </w:rPr>
      <w:tblPr/>
      <w:tcPr>
        <w:tcBorders>
          <w:top w:val="single" w:sz="4" w:space="0" w:color="C9211E" w:themeColor="accent6"/>
          <w:left w:val="none" w:sz="4" w:space="0" w:color="000000"/>
          <w:bottom w:val="single" w:sz="4" w:space="0" w:color="C9211E" w:themeColor="accent6"/>
          <w:right w:val="none" w:sz="4" w:space="0" w:color="000000"/>
        </w:tcBorders>
      </w:tcPr>
    </w:tblStylePr>
    <w:tblStylePr w:type="lastRow">
      <w:rPr>
        <w:b/>
        <w:sz w:val="22"/>
      </w:rPr>
      <w:tblPr/>
      <w:tcPr>
        <w:tcBorders>
          <w:top w:val="single" w:sz="4" w:space="0" w:color="C9211E" w:themeColor="accent6"/>
          <w:left w:val="none" w:sz="4" w:space="0" w:color="000000"/>
          <w:bottom w:val="single" w:sz="4" w:space="0" w:color="C9211E"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6C2C1" w:fill="F6C2C1" w:themeFill="accent6" w:themeFillTint="40"/>
      </w:tcPr>
    </w:tblStylePr>
    <w:tblStylePr w:type="band1Horz">
      <w:rPr>
        <w:sz w:val="22"/>
      </w:rPr>
      <w:tblPr/>
      <w:tcPr>
        <w:shd w:val="clear" w:color="F6C2C1" w:fill="F6C2C1" w:themeFill="accent6" w:themeFillTint="40"/>
      </w:tcPr>
    </w:tblStylePr>
  </w:style>
  <w:style w:type="table" w:customStyle="1" w:styleId="ListTable3">
    <w:name w:val="List Table 3"/>
    <w:uiPriority w:val="99"/>
    <w:rsid w:val="00B52DE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B52DE3"/>
    <w:tblPr>
      <w:tblStyleRowBandSize w:val="1"/>
      <w:tblStyleColBandSize w:val="1"/>
      <w:tblBorders>
        <w:top w:val="single" w:sz="4" w:space="0" w:color="18A303" w:themeColor="accent1"/>
        <w:left w:val="single" w:sz="4" w:space="0" w:color="18A303" w:themeColor="accent1"/>
        <w:bottom w:val="single" w:sz="4" w:space="0" w:color="18A303" w:themeColor="accent1"/>
        <w:right w:val="single" w:sz="4" w:space="0" w:color="18A303" w:themeColor="accent1"/>
      </w:tblBorders>
      <w:tblCellMar>
        <w:top w:w="0" w:type="dxa"/>
        <w:left w:w="0" w:type="dxa"/>
        <w:bottom w:w="0" w:type="dxa"/>
        <w:right w:w="0" w:type="dxa"/>
      </w:tblCellMar>
    </w:tblPr>
    <w:tblStylePr w:type="firstRow">
      <w:rPr>
        <w:b/>
        <w:sz w:val="22"/>
      </w:rPr>
      <w:tblPr/>
      <w:tcPr>
        <w:shd w:val="clear" w:color="18A303" w:fill="18A303"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18A303" w:themeColor="accent1"/>
          <w:right w:val="single" w:sz="4" w:space="0" w:color="18A303" w:themeColor="accent1"/>
        </w:tcBorders>
      </w:tcPr>
    </w:tblStylePr>
    <w:tblStylePr w:type="band1Horz">
      <w:rPr>
        <w:sz w:val="22"/>
      </w:rPr>
      <w:tblPr/>
      <w:tcPr>
        <w:tcBorders>
          <w:top w:val="single" w:sz="4" w:space="0" w:color="18A303" w:themeColor="accent1"/>
          <w:bottom w:val="single" w:sz="4" w:space="0" w:color="18A303" w:themeColor="accent1"/>
        </w:tcBorders>
      </w:tcPr>
    </w:tblStylePr>
  </w:style>
  <w:style w:type="table" w:customStyle="1" w:styleId="ListTable3-Accent2">
    <w:name w:val="List Table 3 - Accent 2"/>
    <w:uiPriority w:val="99"/>
    <w:rsid w:val="00B52DE3"/>
    <w:tblPr>
      <w:tblStyleRowBandSize w:val="1"/>
      <w:tblStyleColBandSize w:val="1"/>
      <w:tbl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tblBorders>
      <w:tblCellMar>
        <w:top w:w="0" w:type="dxa"/>
        <w:left w:w="0" w:type="dxa"/>
        <w:bottom w:w="0" w:type="dxa"/>
        <w:right w:w="0" w:type="dxa"/>
      </w:tblCellMar>
    </w:tblPr>
    <w:tblStylePr w:type="firstRow">
      <w:rPr>
        <w:b/>
        <w:sz w:val="22"/>
      </w:rPr>
      <w:tblPr/>
      <w:tcPr>
        <w:shd w:val="clear" w:color="36B3FB" w:fill="36B3FB"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0369A3" w:themeColor="accent2"/>
          <w:right w:val="single" w:sz="4" w:space="0" w:color="0369A3" w:themeColor="accent2"/>
        </w:tcBorders>
      </w:tcPr>
    </w:tblStylePr>
    <w:tblStylePr w:type="band1Horz">
      <w:rPr>
        <w:sz w:val="22"/>
      </w:rPr>
      <w:tblPr/>
      <w:tcPr>
        <w:tcBorders>
          <w:top w:val="single" w:sz="4" w:space="0" w:color="0369A3" w:themeColor="accent2"/>
          <w:bottom w:val="single" w:sz="4" w:space="0" w:color="0369A3" w:themeColor="accent2"/>
        </w:tcBorders>
      </w:tcPr>
    </w:tblStylePr>
  </w:style>
  <w:style w:type="table" w:customStyle="1" w:styleId="ListTable3-Accent3">
    <w:name w:val="List Table 3 - Accent 3"/>
    <w:uiPriority w:val="99"/>
    <w:rsid w:val="00B52DE3"/>
    <w:tblPr>
      <w:tblStyleRowBandSize w:val="1"/>
      <w:tblStyleColBandSize w:val="1"/>
      <w:tblBorders>
        <w:top w:val="single" w:sz="4" w:space="0" w:color="FB7E35" w:themeColor="accent3" w:themeTint="98"/>
        <w:left w:val="single" w:sz="4" w:space="0" w:color="FB7E35" w:themeColor="accent3" w:themeTint="98"/>
        <w:bottom w:val="single" w:sz="4" w:space="0" w:color="FB7E35" w:themeColor="accent3" w:themeTint="98"/>
        <w:right w:val="single" w:sz="4" w:space="0" w:color="FB7E35" w:themeColor="accent3" w:themeTint="98"/>
      </w:tblBorders>
      <w:tblCellMar>
        <w:top w:w="0" w:type="dxa"/>
        <w:left w:w="0" w:type="dxa"/>
        <w:bottom w:w="0" w:type="dxa"/>
        <w:right w:w="0" w:type="dxa"/>
      </w:tblCellMar>
    </w:tblPr>
    <w:tblStylePr w:type="firstRow">
      <w:rPr>
        <w:b/>
        <w:sz w:val="22"/>
      </w:rPr>
      <w:tblPr/>
      <w:tcPr>
        <w:shd w:val="clear" w:color="FB7E35" w:fill="FB7E35"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33E03" w:themeColor="accent3"/>
          <w:right w:val="single" w:sz="4" w:space="0" w:color="A33E03" w:themeColor="accent3"/>
        </w:tcBorders>
      </w:tcPr>
    </w:tblStylePr>
    <w:tblStylePr w:type="band1Horz">
      <w:rPr>
        <w:sz w:val="22"/>
      </w:rPr>
      <w:tblPr/>
      <w:tcPr>
        <w:tcBorders>
          <w:top w:val="single" w:sz="4" w:space="0" w:color="A33E03" w:themeColor="accent3"/>
          <w:bottom w:val="single" w:sz="4" w:space="0" w:color="A33E03" w:themeColor="accent3"/>
        </w:tcBorders>
      </w:tcPr>
    </w:tblStylePr>
  </w:style>
  <w:style w:type="table" w:customStyle="1" w:styleId="ListTable3-Accent4">
    <w:name w:val="List Table 3 - Accent 4"/>
    <w:uiPriority w:val="99"/>
    <w:rsid w:val="00B52DE3"/>
    <w:tblPr>
      <w:tblStyleRowBandSize w:val="1"/>
      <w:tblStyleColBandSize w:val="1"/>
      <w:tbl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tblBorders>
      <w:tblCellMar>
        <w:top w:w="0" w:type="dxa"/>
        <w:left w:w="0" w:type="dxa"/>
        <w:bottom w:w="0" w:type="dxa"/>
        <w:right w:w="0" w:type="dxa"/>
      </w:tblCellMar>
    </w:tblPr>
    <w:tblStylePr w:type="firstRow">
      <w:rPr>
        <w:b/>
        <w:sz w:val="22"/>
      </w:rPr>
      <w:tblPr/>
      <w:tcPr>
        <w:shd w:val="clear" w:color="E032FB" w:fill="E032FB"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E03A3" w:themeColor="accent4"/>
          <w:right w:val="single" w:sz="4" w:space="0" w:color="8E03A3" w:themeColor="accent4"/>
        </w:tcBorders>
      </w:tcPr>
    </w:tblStylePr>
    <w:tblStylePr w:type="band1Horz">
      <w:rPr>
        <w:sz w:val="22"/>
      </w:rPr>
      <w:tblPr/>
      <w:tcPr>
        <w:tcBorders>
          <w:top w:val="single" w:sz="4" w:space="0" w:color="8E03A3" w:themeColor="accent4"/>
          <w:bottom w:val="single" w:sz="4" w:space="0" w:color="8E03A3" w:themeColor="accent4"/>
        </w:tcBorders>
      </w:tcPr>
    </w:tblStylePr>
  </w:style>
  <w:style w:type="table" w:customStyle="1" w:styleId="ListTable3-Accent5">
    <w:name w:val="List Table 3 - Accent 5"/>
    <w:uiPriority w:val="99"/>
    <w:rsid w:val="00B52DE3"/>
    <w:tblPr>
      <w:tblStyleRowBandSize w:val="1"/>
      <w:tblStyleColBandSize w:val="1"/>
      <w:tblBorders>
        <w:top w:val="single" w:sz="4" w:space="0" w:color="FFD444" w:themeColor="accent5" w:themeTint="9A"/>
        <w:left w:val="single" w:sz="4" w:space="0" w:color="FFD444" w:themeColor="accent5" w:themeTint="9A"/>
        <w:bottom w:val="single" w:sz="4" w:space="0" w:color="FFD444" w:themeColor="accent5" w:themeTint="9A"/>
        <w:right w:val="single" w:sz="4" w:space="0" w:color="FFD444" w:themeColor="accent5" w:themeTint="9A"/>
      </w:tblBorders>
      <w:tblCellMar>
        <w:top w:w="0" w:type="dxa"/>
        <w:left w:w="0" w:type="dxa"/>
        <w:bottom w:w="0" w:type="dxa"/>
        <w:right w:w="0" w:type="dxa"/>
      </w:tblCellMar>
    </w:tblPr>
    <w:tblStylePr w:type="firstRow">
      <w:rPr>
        <w:b/>
        <w:sz w:val="22"/>
      </w:rPr>
      <w:tblPr/>
      <w:tcPr>
        <w:shd w:val="clear" w:color="FFD444" w:fill="FFD444"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C99C00" w:themeColor="accent5"/>
          <w:right w:val="single" w:sz="4" w:space="0" w:color="C99C00" w:themeColor="accent5"/>
        </w:tcBorders>
      </w:tcPr>
    </w:tblStylePr>
    <w:tblStylePr w:type="band1Horz">
      <w:rPr>
        <w:sz w:val="22"/>
      </w:rPr>
      <w:tblPr/>
      <w:tcPr>
        <w:tcBorders>
          <w:top w:val="single" w:sz="4" w:space="0" w:color="C99C00" w:themeColor="accent5"/>
          <w:bottom w:val="single" w:sz="4" w:space="0" w:color="C99C00" w:themeColor="accent5"/>
        </w:tcBorders>
      </w:tcPr>
    </w:tblStylePr>
  </w:style>
  <w:style w:type="table" w:customStyle="1" w:styleId="ListTable3-Accent6">
    <w:name w:val="List Table 3 - Accent 6"/>
    <w:uiPriority w:val="99"/>
    <w:rsid w:val="00B52DE3"/>
    <w:tblPr>
      <w:tblStyleRowBandSize w:val="1"/>
      <w:tblStyleColBandSize w:val="1"/>
      <w:tblBorders>
        <w:top w:val="single" w:sz="4" w:space="0" w:color="E9706E" w:themeColor="accent6" w:themeTint="98"/>
        <w:left w:val="single" w:sz="4" w:space="0" w:color="E9706E" w:themeColor="accent6" w:themeTint="98"/>
        <w:bottom w:val="single" w:sz="4" w:space="0" w:color="E9706E" w:themeColor="accent6" w:themeTint="98"/>
        <w:right w:val="single" w:sz="4" w:space="0" w:color="E9706E" w:themeColor="accent6" w:themeTint="98"/>
      </w:tblBorders>
      <w:tblCellMar>
        <w:top w:w="0" w:type="dxa"/>
        <w:left w:w="0" w:type="dxa"/>
        <w:bottom w:w="0" w:type="dxa"/>
        <w:right w:w="0" w:type="dxa"/>
      </w:tblCellMar>
    </w:tblPr>
    <w:tblStylePr w:type="firstRow">
      <w:rPr>
        <w:b/>
        <w:sz w:val="22"/>
      </w:rPr>
      <w:tblPr/>
      <w:tcPr>
        <w:shd w:val="clear" w:color="E9706E" w:fill="E9706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C9211E" w:themeColor="accent6"/>
          <w:right w:val="single" w:sz="4" w:space="0" w:color="C9211E" w:themeColor="accent6"/>
        </w:tcBorders>
      </w:tcPr>
    </w:tblStylePr>
    <w:tblStylePr w:type="band1Horz">
      <w:rPr>
        <w:sz w:val="22"/>
      </w:rPr>
      <w:tblPr/>
      <w:tcPr>
        <w:tcBorders>
          <w:top w:val="single" w:sz="4" w:space="0" w:color="C9211E" w:themeColor="accent6"/>
          <w:bottom w:val="single" w:sz="4" w:space="0" w:color="C9211E" w:themeColor="accent6"/>
        </w:tcBorders>
      </w:tcPr>
    </w:tblStylePr>
  </w:style>
  <w:style w:type="table" w:customStyle="1" w:styleId="ListTable4">
    <w:name w:val="List Table 4"/>
    <w:uiPriority w:val="99"/>
    <w:rsid w:val="00B52DE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uiPriority w:val="99"/>
    <w:rsid w:val="00B52DE3"/>
    <w:tblPr>
      <w:tblStyleRowBandSize w:val="1"/>
      <w:tblStyleColBandSize w:val="1"/>
      <w:tblBorders>
        <w:top w:val="single" w:sz="4" w:space="0" w:color="58FB40" w:themeColor="accent1" w:themeTint="90"/>
        <w:left w:val="single" w:sz="4" w:space="0" w:color="58FB40" w:themeColor="accent1" w:themeTint="90"/>
        <w:bottom w:val="single" w:sz="4" w:space="0" w:color="58FB40" w:themeColor="accent1" w:themeTint="90"/>
        <w:right w:val="single" w:sz="4" w:space="0" w:color="58FB40" w:themeColor="accent1" w:themeTint="90"/>
        <w:insideH w:val="single" w:sz="4" w:space="0" w:color="58FB40" w:themeColor="accent1" w:themeTint="90"/>
      </w:tblBorders>
      <w:tblCellMar>
        <w:top w:w="0" w:type="dxa"/>
        <w:left w:w="0" w:type="dxa"/>
        <w:bottom w:w="0" w:type="dxa"/>
        <w:right w:w="0" w:type="dxa"/>
      </w:tblCellMar>
    </w:tblPr>
    <w:tblStylePr w:type="firstRow">
      <w:rPr>
        <w:b/>
        <w:sz w:val="22"/>
      </w:rPr>
      <w:tblPr/>
      <w:tcPr>
        <w:shd w:val="clear" w:color="18A303" w:fill="18A303" w:themeFill="accent1"/>
      </w:tcPr>
    </w:tblStylePr>
    <w:tblStylePr w:type="lastRow">
      <w:rPr>
        <w:b/>
      </w:rPr>
    </w:tblStylePr>
    <w:tblStylePr w:type="firstCol">
      <w:rPr>
        <w:b/>
      </w:rPr>
    </w:tblStylePr>
    <w:tblStylePr w:type="lastCol">
      <w:rPr>
        <w:b/>
      </w:rPr>
    </w:tblStylePr>
    <w:tblStylePr w:type="band1Vert">
      <w:rPr>
        <w:sz w:val="22"/>
      </w:rPr>
      <w:tblPr/>
      <w:tcPr>
        <w:shd w:val="clear" w:color="B4FDA9" w:fill="B4FDA9" w:themeFill="accent1" w:themeFillTint="40"/>
      </w:tcPr>
    </w:tblStylePr>
    <w:tblStylePr w:type="band1Horz">
      <w:rPr>
        <w:sz w:val="22"/>
      </w:rPr>
      <w:tblPr/>
      <w:tcPr>
        <w:shd w:val="clear" w:color="B4FDA9" w:fill="B4FDA9" w:themeFill="accent1" w:themeFillTint="40"/>
      </w:tcPr>
    </w:tblStylePr>
  </w:style>
  <w:style w:type="table" w:customStyle="1" w:styleId="ListTable4-Accent2">
    <w:name w:val="List Table 4 - Accent 2"/>
    <w:uiPriority w:val="99"/>
    <w:rsid w:val="00B52DE3"/>
    <w:tblPr>
      <w:tblStyleRowBandSize w:val="1"/>
      <w:tblStyleColBandSize w:val="1"/>
      <w:tblBorders>
        <w:top w:val="single" w:sz="4" w:space="0" w:color="40B7FB" w:themeColor="accent2" w:themeTint="90"/>
        <w:left w:val="single" w:sz="4" w:space="0" w:color="40B7FB" w:themeColor="accent2" w:themeTint="90"/>
        <w:bottom w:val="single" w:sz="4" w:space="0" w:color="40B7FB" w:themeColor="accent2" w:themeTint="90"/>
        <w:right w:val="single" w:sz="4" w:space="0" w:color="40B7FB" w:themeColor="accent2" w:themeTint="90"/>
        <w:insideH w:val="single" w:sz="4" w:space="0" w:color="40B7FB" w:themeColor="accent2" w:themeTint="90"/>
      </w:tblBorders>
      <w:tblCellMar>
        <w:top w:w="0" w:type="dxa"/>
        <w:left w:w="0" w:type="dxa"/>
        <w:bottom w:w="0" w:type="dxa"/>
        <w:right w:w="0" w:type="dxa"/>
      </w:tblCellMar>
    </w:tblPr>
    <w:tblStylePr w:type="firstRow">
      <w:rPr>
        <w:b/>
        <w:sz w:val="22"/>
      </w:rPr>
      <w:tblPr/>
      <w:tcPr>
        <w:shd w:val="clear" w:color="0369A3" w:fill="0369A3" w:themeFill="accent2"/>
      </w:tcPr>
    </w:tblStylePr>
    <w:tblStylePr w:type="lastRow">
      <w:rPr>
        <w:b/>
      </w:rPr>
    </w:tblStylePr>
    <w:tblStylePr w:type="firstCol">
      <w:rPr>
        <w:b/>
      </w:rPr>
    </w:tblStylePr>
    <w:tblStylePr w:type="lastCol">
      <w:rPr>
        <w:b/>
      </w:rPr>
    </w:tblStylePr>
    <w:tblStylePr w:type="band1Vert">
      <w:rPr>
        <w:sz w:val="22"/>
      </w:rPr>
      <w:tblPr/>
      <w:tcPr>
        <w:shd w:val="clear" w:color="A9DEFD" w:fill="A9DEFD" w:themeFill="accent2" w:themeFillTint="40"/>
      </w:tcPr>
    </w:tblStylePr>
    <w:tblStylePr w:type="band1Horz">
      <w:rPr>
        <w:sz w:val="22"/>
      </w:rPr>
      <w:tblPr/>
      <w:tcPr>
        <w:shd w:val="clear" w:color="A9DEFD" w:fill="A9DEFD" w:themeFill="accent2" w:themeFillTint="40"/>
      </w:tcPr>
    </w:tblStylePr>
  </w:style>
  <w:style w:type="table" w:customStyle="1" w:styleId="ListTable4-Accent3">
    <w:name w:val="List Table 4 - Accent 3"/>
    <w:uiPriority w:val="99"/>
    <w:rsid w:val="00B52DE3"/>
    <w:tblPr>
      <w:tblStyleRowBandSize w:val="1"/>
      <w:tblStyleColBandSize w:val="1"/>
      <w:tblBorders>
        <w:top w:val="single" w:sz="4" w:space="0" w:color="FB8540" w:themeColor="accent3" w:themeTint="90"/>
        <w:left w:val="single" w:sz="4" w:space="0" w:color="FB8540" w:themeColor="accent3" w:themeTint="90"/>
        <w:bottom w:val="single" w:sz="4" w:space="0" w:color="FB8540" w:themeColor="accent3" w:themeTint="90"/>
        <w:right w:val="single" w:sz="4" w:space="0" w:color="FB8540" w:themeColor="accent3" w:themeTint="90"/>
        <w:insideH w:val="single" w:sz="4" w:space="0" w:color="FB8540" w:themeColor="accent3" w:themeTint="90"/>
      </w:tblBorders>
      <w:tblCellMar>
        <w:top w:w="0" w:type="dxa"/>
        <w:left w:w="0" w:type="dxa"/>
        <w:bottom w:w="0" w:type="dxa"/>
        <w:right w:w="0" w:type="dxa"/>
      </w:tblCellMar>
    </w:tblPr>
    <w:tblStylePr w:type="firstRow">
      <w:rPr>
        <w:b/>
        <w:sz w:val="22"/>
      </w:rPr>
      <w:tblPr/>
      <w:tcPr>
        <w:shd w:val="clear" w:color="A33E03" w:fill="A33E03" w:themeFill="accent3"/>
      </w:tcPr>
    </w:tblStylePr>
    <w:tblStylePr w:type="lastRow">
      <w:rPr>
        <w:b/>
      </w:rPr>
    </w:tblStylePr>
    <w:tblStylePr w:type="firstCol">
      <w:rPr>
        <w:b/>
      </w:rPr>
    </w:tblStylePr>
    <w:tblStylePr w:type="lastCol">
      <w:rPr>
        <w:b/>
      </w:rPr>
    </w:tblStylePr>
    <w:tblStylePr w:type="band1Vert">
      <w:rPr>
        <w:sz w:val="22"/>
      </w:rPr>
      <w:tblPr/>
      <w:tcPr>
        <w:shd w:val="clear" w:color="FDC8A9" w:fill="FDC8A9" w:themeFill="accent3" w:themeFillTint="40"/>
      </w:tcPr>
    </w:tblStylePr>
    <w:tblStylePr w:type="band1Horz">
      <w:rPr>
        <w:sz w:val="22"/>
      </w:rPr>
      <w:tblPr/>
      <w:tcPr>
        <w:shd w:val="clear" w:color="FDC8A9" w:fill="FDC8A9" w:themeFill="accent3" w:themeFillTint="40"/>
      </w:tcPr>
    </w:tblStylePr>
  </w:style>
  <w:style w:type="table" w:customStyle="1" w:styleId="ListTable4-Accent4">
    <w:name w:val="List Table 4 - Accent 4"/>
    <w:uiPriority w:val="99"/>
    <w:rsid w:val="00B52DE3"/>
    <w:tblPr>
      <w:tblStyleRowBandSize w:val="1"/>
      <w:tblStyleColBandSize w:val="1"/>
      <w:tblBorders>
        <w:top w:val="single" w:sz="4" w:space="0" w:color="E240FB" w:themeColor="accent4" w:themeTint="90"/>
        <w:left w:val="single" w:sz="4" w:space="0" w:color="E240FB" w:themeColor="accent4" w:themeTint="90"/>
        <w:bottom w:val="single" w:sz="4" w:space="0" w:color="E240FB" w:themeColor="accent4" w:themeTint="90"/>
        <w:right w:val="single" w:sz="4" w:space="0" w:color="E240FB" w:themeColor="accent4" w:themeTint="90"/>
        <w:insideH w:val="single" w:sz="4" w:space="0" w:color="E240FB" w:themeColor="accent4" w:themeTint="90"/>
      </w:tblBorders>
      <w:tblCellMar>
        <w:top w:w="0" w:type="dxa"/>
        <w:left w:w="0" w:type="dxa"/>
        <w:bottom w:w="0" w:type="dxa"/>
        <w:right w:w="0" w:type="dxa"/>
      </w:tblCellMar>
    </w:tblPr>
    <w:tblStylePr w:type="firstRow">
      <w:rPr>
        <w:b/>
        <w:sz w:val="22"/>
      </w:rPr>
      <w:tblPr/>
      <w:tcPr>
        <w:shd w:val="clear" w:color="8E03A3" w:fill="8E03A3" w:themeFill="accent4"/>
      </w:tcPr>
    </w:tblStylePr>
    <w:tblStylePr w:type="lastRow">
      <w:rPr>
        <w:b/>
      </w:rPr>
    </w:tblStylePr>
    <w:tblStylePr w:type="firstCol">
      <w:rPr>
        <w:b/>
      </w:rPr>
    </w:tblStylePr>
    <w:tblStylePr w:type="lastCol">
      <w:rPr>
        <w:b/>
      </w:rPr>
    </w:tblStylePr>
    <w:tblStylePr w:type="band1Vert">
      <w:rPr>
        <w:sz w:val="22"/>
      </w:rPr>
      <w:tblPr/>
      <w:tcPr>
        <w:shd w:val="clear" w:color="F2A9FD" w:fill="F2A9FD" w:themeFill="accent4" w:themeFillTint="40"/>
      </w:tcPr>
    </w:tblStylePr>
    <w:tblStylePr w:type="band1Horz">
      <w:rPr>
        <w:sz w:val="22"/>
      </w:rPr>
      <w:tblPr/>
      <w:tcPr>
        <w:shd w:val="clear" w:color="F2A9FD" w:fill="F2A9FD" w:themeFill="accent4" w:themeFillTint="40"/>
      </w:tcPr>
    </w:tblStylePr>
  </w:style>
  <w:style w:type="table" w:customStyle="1" w:styleId="ListTable4-Accent5">
    <w:name w:val="List Table 4 - Accent 5"/>
    <w:uiPriority w:val="99"/>
    <w:rsid w:val="00B52DE3"/>
    <w:tblPr>
      <w:tblStyleRowBandSize w:val="1"/>
      <w:tblStyleColBandSize w:val="1"/>
      <w:tblBorders>
        <w:top w:val="single" w:sz="4" w:space="0" w:color="FFD750" w:themeColor="accent5" w:themeTint="90"/>
        <w:left w:val="single" w:sz="4" w:space="0" w:color="FFD750" w:themeColor="accent5" w:themeTint="90"/>
        <w:bottom w:val="single" w:sz="4" w:space="0" w:color="FFD750" w:themeColor="accent5" w:themeTint="90"/>
        <w:right w:val="single" w:sz="4" w:space="0" w:color="FFD750" w:themeColor="accent5" w:themeTint="90"/>
        <w:insideH w:val="single" w:sz="4" w:space="0" w:color="FFD750" w:themeColor="accent5" w:themeTint="90"/>
      </w:tblBorders>
      <w:tblCellMar>
        <w:top w:w="0" w:type="dxa"/>
        <w:left w:w="0" w:type="dxa"/>
        <w:bottom w:w="0" w:type="dxa"/>
        <w:right w:w="0" w:type="dxa"/>
      </w:tblCellMar>
    </w:tblPr>
    <w:tblStylePr w:type="firstRow">
      <w:rPr>
        <w:b/>
        <w:sz w:val="22"/>
      </w:rPr>
      <w:tblPr/>
      <w:tcPr>
        <w:shd w:val="clear" w:color="C99C00" w:fill="C99C00" w:themeFill="accent5"/>
      </w:tcPr>
    </w:tblStylePr>
    <w:tblStylePr w:type="lastRow">
      <w:rPr>
        <w:b/>
      </w:rPr>
    </w:tblStylePr>
    <w:tblStylePr w:type="firstCol">
      <w:rPr>
        <w:b/>
      </w:rPr>
    </w:tblStylePr>
    <w:tblStylePr w:type="lastCol">
      <w:rPr>
        <w:b/>
      </w:rPr>
    </w:tblStylePr>
    <w:tblStylePr w:type="band1Vert">
      <w:rPr>
        <w:sz w:val="22"/>
      </w:rPr>
      <w:tblPr/>
      <w:tcPr>
        <w:shd w:val="clear" w:color="FFEDB1" w:fill="FFEDB1" w:themeFill="accent5" w:themeFillTint="40"/>
      </w:tcPr>
    </w:tblStylePr>
    <w:tblStylePr w:type="band1Horz">
      <w:rPr>
        <w:sz w:val="22"/>
      </w:rPr>
      <w:tblPr/>
      <w:tcPr>
        <w:shd w:val="clear" w:color="FFEDB1" w:fill="FFEDB1" w:themeFill="accent5" w:themeFillTint="40"/>
      </w:tcPr>
    </w:tblStylePr>
  </w:style>
  <w:style w:type="table" w:customStyle="1" w:styleId="ListTable4-Accent6">
    <w:name w:val="List Table 4 - Accent 6"/>
    <w:uiPriority w:val="99"/>
    <w:rsid w:val="00B52DE3"/>
    <w:tblPr>
      <w:tblStyleRowBandSize w:val="1"/>
      <w:tblStyleColBandSize w:val="1"/>
      <w:tblBorders>
        <w:top w:val="single" w:sz="4" w:space="0" w:color="EA7775" w:themeColor="accent6" w:themeTint="90"/>
        <w:left w:val="single" w:sz="4" w:space="0" w:color="EA7775" w:themeColor="accent6" w:themeTint="90"/>
        <w:bottom w:val="single" w:sz="4" w:space="0" w:color="EA7775" w:themeColor="accent6" w:themeTint="90"/>
        <w:right w:val="single" w:sz="4" w:space="0" w:color="EA7775" w:themeColor="accent6" w:themeTint="90"/>
        <w:insideH w:val="single" w:sz="4" w:space="0" w:color="EA7775" w:themeColor="accent6" w:themeTint="90"/>
      </w:tblBorders>
      <w:tblCellMar>
        <w:top w:w="0" w:type="dxa"/>
        <w:left w:w="0" w:type="dxa"/>
        <w:bottom w:w="0" w:type="dxa"/>
        <w:right w:w="0" w:type="dxa"/>
      </w:tblCellMar>
    </w:tblPr>
    <w:tblStylePr w:type="firstRow">
      <w:rPr>
        <w:b/>
        <w:sz w:val="22"/>
      </w:rPr>
      <w:tblPr/>
      <w:tcPr>
        <w:shd w:val="clear" w:color="C9211E" w:fill="C9211E" w:themeFill="accent6"/>
      </w:tcPr>
    </w:tblStylePr>
    <w:tblStylePr w:type="lastRow">
      <w:rPr>
        <w:b/>
      </w:rPr>
    </w:tblStylePr>
    <w:tblStylePr w:type="firstCol">
      <w:rPr>
        <w:b/>
      </w:rPr>
    </w:tblStylePr>
    <w:tblStylePr w:type="lastCol">
      <w:rPr>
        <w:b/>
      </w:rPr>
    </w:tblStylePr>
    <w:tblStylePr w:type="band1Vert">
      <w:rPr>
        <w:sz w:val="22"/>
      </w:rPr>
      <w:tblPr/>
      <w:tcPr>
        <w:shd w:val="clear" w:color="F6C2C1" w:fill="F6C2C1" w:themeFill="accent6" w:themeFillTint="40"/>
      </w:tcPr>
    </w:tblStylePr>
    <w:tblStylePr w:type="band1Horz">
      <w:rPr>
        <w:sz w:val="22"/>
      </w:rPr>
      <w:tblPr/>
      <w:tcPr>
        <w:shd w:val="clear" w:color="F6C2C1" w:fill="F6C2C1" w:themeFill="accent6" w:themeFillTint="40"/>
      </w:tcPr>
    </w:tblStylePr>
  </w:style>
  <w:style w:type="table" w:customStyle="1" w:styleId="ListTable5Dark">
    <w:name w:val="List Table 5 Dark"/>
    <w:uiPriority w:val="99"/>
    <w:rsid w:val="00B52DE3"/>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uiPriority w:val="99"/>
    <w:rsid w:val="00B52DE3"/>
    <w:tblPr>
      <w:tblStyleRowBandSize w:val="1"/>
      <w:tblStyleColBandSize w:val="1"/>
      <w:tblBorders>
        <w:top w:val="single" w:sz="32" w:space="0" w:color="18A303" w:themeColor="accent1"/>
        <w:left w:val="single" w:sz="32" w:space="0" w:color="18A303" w:themeColor="accent1"/>
        <w:bottom w:val="single" w:sz="32" w:space="0" w:color="18A303" w:themeColor="accent1"/>
        <w:right w:val="single" w:sz="32" w:space="0" w:color="18A303"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18A303" w:themeColor="accent1"/>
          <w:bottom w:val="single" w:sz="12" w:space="0" w:color="FFFFFF" w:themeColor="light1"/>
        </w:tcBorders>
        <w:shd w:val="clear" w:color="18A303" w:fill="18A303"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18A303" w:themeColor="accent1"/>
          <w:right w:val="single" w:sz="4" w:space="0" w:color="FFFFFF" w:themeColor="light1"/>
        </w:tcBorders>
      </w:tcPr>
    </w:tblStylePr>
    <w:tblStylePr w:type="lastCol">
      <w:tblPr/>
      <w:tcPr>
        <w:tcBorders>
          <w:left w:val="single" w:sz="4" w:space="0" w:color="FFFFFF" w:themeColor="light1"/>
          <w:right w:val="single" w:sz="32" w:space="0" w:color="18A303" w:themeColor="accent1"/>
        </w:tcBorders>
      </w:tcPr>
    </w:tblStylePr>
    <w:tblStylePr w:type="band1Vert">
      <w:tblPr/>
      <w:tcPr>
        <w:tcBorders>
          <w:left w:val="single" w:sz="4" w:space="0" w:color="FFFFFF" w:themeColor="light1"/>
          <w:right w:val="single" w:sz="4" w:space="0" w:color="FFFFFF" w:themeColor="light1"/>
        </w:tcBorders>
        <w:shd w:val="clear" w:color="18A303" w:fill="18A303"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8A303" w:fill="18A303" w:themeFill="accent1"/>
      </w:tcPr>
    </w:tblStylePr>
    <w:tblStylePr w:type="band2Horz">
      <w:tblPr/>
      <w:tcPr>
        <w:tcBorders>
          <w:top w:val="single" w:sz="4" w:space="0" w:color="FFFFFF" w:themeColor="light1"/>
          <w:bottom w:val="single" w:sz="4" w:space="0" w:color="FFFFFF" w:themeColor="light1"/>
        </w:tcBorders>
        <w:shd w:val="clear" w:color="18A303" w:fill="18A303" w:themeFill="accent1"/>
      </w:tcPr>
    </w:tblStylePr>
  </w:style>
  <w:style w:type="table" w:customStyle="1" w:styleId="ListTable5Dark-Accent2">
    <w:name w:val="List Table 5 Dark - Accent 2"/>
    <w:uiPriority w:val="99"/>
    <w:rsid w:val="00B52DE3"/>
    <w:tblPr>
      <w:tblStyleRowBandSize w:val="1"/>
      <w:tblStyleColBandSize w:val="1"/>
      <w:tblBorders>
        <w:top w:val="single" w:sz="32" w:space="0" w:color="36B3FB" w:themeColor="accent2" w:themeTint="97"/>
        <w:left w:val="single" w:sz="32" w:space="0" w:color="36B3FB" w:themeColor="accent2" w:themeTint="97"/>
        <w:bottom w:val="single" w:sz="32" w:space="0" w:color="36B3FB" w:themeColor="accent2" w:themeTint="97"/>
        <w:right w:val="single" w:sz="32" w:space="0" w:color="36B3FB"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0369A3" w:themeColor="accent2"/>
          <w:bottom w:val="single" w:sz="12" w:space="0" w:color="FFFFFF" w:themeColor="light1"/>
        </w:tcBorders>
        <w:shd w:val="clear" w:color="36B3FB" w:fill="36B3FB"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0369A3" w:themeColor="accent2"/>
          <w:right w:val="single" w:sz="4" w:space="0" w:color="FFFFFF" w:themeColor="light1"/>
        </w:tcBorders>
      </w:tcPr>
    </w:tblStylePr>
    <w:tblStylePr w:type="lastCol">
      <w:tblPr/>
      <w:tcPr>
        <w:tcBorders>
          <w:left w:val="single" w:sz="4" w:space="0" w:color="FFFFFF" w:themeColor="light1"/>
          <w:right w:val="single" w:sz="32" w:space="0" w:color="0369A3" w:themeColor="accent2"/>
        </w:tcBorders>
      </w:tcPr>
    </w:tblStylePr>
    <w:tblStylePr w:type="band1Vert">
      <w:tblPr/>
      <w:tcPr>
        <w:tcBorders>
          <w:left w:val="single" w:sz="4" w:space="0" w:color="FFFFFF" w:themeColor="light1"/>
          <w:right w:val="single" w:sz="4" w:space="0" w:color="FFFFFF" w:themeColor="light1"/>
        </w:tcBorders>
        <w:shd w:val="clear" w:color="36B3FB" w:fill="36B3FB"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6B3FB" w:fill="36B3FB" w:themeFill="accent2" w:themeFillTint="97"/>
      </w:tcPr>
    </w:tblStylePr>
    <w:tblStylePr w:type="band2Horz">
      <w:tblPr/>
      <w:tcPr>
        <w:tcBorders>
          <w:top w:val="single" w:sz="4" w:space="0" w:color="FFFFFF" w:themeColor="light1"/>
          <w:bottom w:val="single" w:sz="4" w:space="0" w:color="FFFFFF" w:themeColor="light1"/>
        </w:tcBorders>
        <w:shd w:val="clear" w:color="36B3FB" w:fill="36B3FB" w:themeFill="accent2" w:themeFillTint="97"/>
      </w:tcPr>
    </w:tblStylePr>
  </w:style>
  <w:style w:type="table" w:customStyle="1" w:styleId="ListTable5Dark-Accent3">
    <w:name w:val="List Table 5 Dark - Accent 3"/>
    <w:uiPriority w:val="99"/>
    <w:rsid w:val="00B52DE3"/>
    <w:tblPr>
      <w:tblStyleRowBandSize w:val="1"/>
      <w:tblStyleColBandSize w:val="1"/>
      <w:tblBorders>
        <w:top w:val="single" w:sz="32" w:space="0" w:color="FB7E35" w:themeColor="accent3" w:themeTint="98"/>
        <w:left w:val="single" w:sz="32" w:space="0" w:color="FB7E35" w:themeColor="accent3" w:themeTint="98"/>
        <w:bottom w:val="single" w:sz="32" w:space="0" w:color="FB7E35" w:themeColor="accent3" w:themeTint="98"/>
        <w:right w:val="single" w:sz="32" w:space="0" w:color="FB7E35"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A33E03" w:themeColor="accent3"/>
          <w:bottom w:val="single" w:sz="12" w:space="0" w:color="FFFFFF" w:themeColor="light1"/>
        </w:tcBorders>
        <w:shd w:val="clear" w:color="FB7E35" w:fill="FB7E35"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33E03" w:themeColor="accent3"/>
          <w:right w:val="single" w:sz="4" w:space="0" w:color="FFFFFF" w:themeColor="light1"/>
        </w:tcBorders>
      </w:tcPr>
    </w:tblStylePr>
    <w:tblStylePr w:type="lastCol">
      <w:tblPr/>
      <w:tcPr>
        <w:tcBorders>
          <w:left w:val="single" w:sz="4" w:space="0" w:color="FFFFFF" w:themeColor="light1"/>
          <w:right w:val="single" w:sz="32" w:space="0" w:color="A33E03" w:themeColor="accent3"/>
        </w:tcBorders>
      </w:tcPr>
    </w:tblStylePr>
    <w:tblStylePr w:type="band1Vert">
      <w:tblPr/>
      <w:tcPr>
        <w:tcBorders>
          <w:left w:val="single" w:sz="4" w:space="0" w:color="FFFFFF" w:themeColor="light1"/>
          <w:right w:val="single" w:sz="4" w:space="0" w:color="FFFFFF" w:themeColor="light1"/>
        </w:tcBorders>
        <w:shd w:val="clear" w:color="FB7E35" w:fill="FB7E35"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B7E35" w:fill="FB7E35" w:themeFill="accent3" w:themeFillTint="98"/>
      </w:tcPr>
    </w:tblStylePr>
    <w:tblStylePr w:type="band2Horz">
      <w:tblPr/>
      <w:tcPr>
        <w:tcBorders>
          <w:top w:val="single" w:sz="4" w:space="0" w:color="FFFFFF" w:themeColor="light1"/>
          <w:bottom w:val="single" w:sz="4" w:space="0" w:color="FFFFFF" w:themeColor="light1"/>
        </w:tcBorders>
        <w:shd w:val="clear" w:color="FB7E35" w:fill="FB7E35" w:themeFill="accent3" w:themeFillTint="98"/>
      </w:tcPr>
    </w:tblStylePr>
  </w:style>
  <w:style w:type="table" w:customStyle="1" w:styleId="ListTable5Dark-Accent4">
    <w:name w:val="List Table 5 Dark - Accent 4"/>
    <w:uiPriority w:val="99"/>
    <w:rsid w:val="00B52DE3"/>
    <w:tblPr>
      <w:tblStyleRowBandSize w:val="1"/>
      <w:tblStyleColBandSize w:val="1"/>
      <w:tblBorders>
        <w:top w:val="single" w:sz="32" w:space="0" w:color="E032FB" w:themeColor="accent4" w:themeTint="9A"/>
        <w:left w:val="single" w:sz="32" w:space="0" w:color="E032FB" w:themeColor="accent4" w:themeTint="9A"/>
        <w:bottom w:val="single" w:sz="32" w:space="0" w:color="E032FB" w:themeColor="accent4" w:themeTint="9A"/>
        <w:right w:val="single" w:sz="32" w:space="0" w:color="E032FB"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8E03A3" w:themeColor="accent4"/>
          <w:bottom w:val="single" w:sz="12" w:space="0" w:color="FFFFFF" w:themeColor="light1"/>
        </w:tcBorders>
        <w:shd w:val="clear" w:color="E032FB" w:fill="E032FB"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E03A3" w:themeColor="accent4"/>
          <w:right w:val="single" w:sz="4" w:space="0" w:color="FFFFFF" w:themeColor="light1"/>
        </w:tcBorders>
      </w:tcPr>
    </w:tblStylePr>
    <w:tblStylePr w:type="lastCol">
      <w:tblPr/>
      <w:tcPr>
        <w:tcBorders>
          <w:left w:val="single" w:sz="4" w:space="0" w:color="FFFFFF" w:themeColor="light1"/>
          <w:right w:val="single" w:sz="32" w:space="0" w:color="8E03A3" w:themeColor="accent4"/>
        </w:tcBorders>
      </w:tcPr>
    </w:tblStylePr>
    <w:tblStylePr w:type="band1Vert">
      <w:tblPr/>
      <w:tcPr>
        <w:tcBorders>
          <w:left w:val="single" w:sz="4" w:space="0" w:color="FFFFFF" w:themeColor="light1"/>
          <w:right w:val="single" w:sz="4" w:space="0" w:color="FFFFFF" w:themeColor="light1"/>
        </w:tcBorders>
        <w:shd w:val="clear" w:color="E032FB" w:fill="E032FB"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032FB" w:fill="E032FB" w:themeFill="accent4" w:themeFillTint="9A"/>
      </w:tcPr>
    </w:tblStylePr>
    <w:tblStylePr w:type="band2Horz">
      <w:tblPr/>
      <w:tcPr>
        <w:tcBorders>
          <w:top w:val="single" w:sz="4" w:space="0" w:color="FFFFFF" w:themeColor="light1"/>
          <w:bottom w:val="single" w:sz="4" w:space="0" w:color="FFFFFF" w:themeColor="light1"/>
        </w:tcBorders>
        <w:shd w:val="clear" w:color="E032FB" w:fill="E032FB" w:themeFill="accent4" w:themeFillTint="9A"/>
      </w:tcPr>
    </w:tblStylePr>
  </w:style>
  <w:style w:type="table" w:customStyle="1" w:styleId="ListTable5Dark-Accent5">
    <w:name w:val="List Table 5 Dark - Accent 5"/>
    <w:uiPriority w:val="99"/>
    <w:rsid w:val="00B52DE3"/>
    <w:tblPr>
      <w:tblStyleRowBandSize w:val="1"/>
      <w:tblStyleColBandSize w:val="1"/>
      <w:tblBorders>
        <w:top w:val="single" w:sz="32" w:space="0" w:color="FFD444" w:themeColor="accent5" w:themeTint="9A"/>
        <w:left w:val="single" w:sz="32" w:space="0" w:color="FFD444" w:themeColor="accent5" w:themeTint="9A"/>
        <w:bottom w:val="single" w:sz="32" w:space="0" w:color="FFD444" w:themeColor="accent5" w:themeTint="9A"/>
        <w:right w:val="single" w:sz="32" w:space="0" w:color="FFD444"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C99C00" w:themeColor="accent5"/>
          <w:bottom w:val="single" w:sz="12" w:space="0" w:color="FFFFFF" w:themeColor="light1"/>
        </w:tcBorders>
        <w:shd w:val="clear" w:color="FFD444" w:fill="FFD444"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C99C00" w:themeColor="accent5"/>
          <w:right w:val="single" w:sz="4" w:space="0" w:color="FFFFFF" w:themeColor="light1"/>
        </w:tcBorders>
      </w:tcPr>
    </w:tblStylePr>
    <w:tblStylePr w:type="lastCol">
      <w:tblPr/>
      <w:tcPr>
        <w:tcBorders>
          <w:left w:val="single" w:sz="4" w:space="0" w:color="FFFFFF" w:themeColor="light1"/>
          <w:right w:val="single" w:sz="32" w:space="0" w:color="C99C00" w:themeColor="accent5"/>
        </w:tcBorders>
      </w:tcPr>
    </w:tblStylePr>
    <w:tblStylePr w:type="band1Vert">
      <w:tblPr/>
      <w:tcPr>
        <w:tcBorders>
          <w:left w:val="single" w:sz="4" w:space="0" w:color="FFFFFF" w:themeColor="light1"/>
          <w:right w:val="single" w:sz="4" w:space="0" w:color="FFFFFF" w:themeColor="light1"/>
        </w:tcBorders>
        <w:shd w:val="clear" w:color="FFD444" w:fill="FFD444"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444" w:fill="FFD444" w:themeFill="accent5" w:themeFillTint="9A"/>
      </w:tcPr>
    </w:tblStylePr>
    <w:tblStylePr w:type="band2Horz">
      <w:tblPr/>
      <w:tcPr>
        <w:tcBorders>
          <w:top w:val="single" w:sz="4" w:space="0" w:color="FFFFFF" w:themeColor="light1"/>
          <w:bottom w:val="single" w:sz="4" w:space="0" w:color="FFFFFF" w:themeColor="light1"/>
        </w:tcBorders>
        <w:shd w:val="clear" w:color="FFD444" w:fill="FFD444" w:themeFill="accent5" w:themeFillTint="9A"/>
      </w:tcPr>
    </w:tblStylePr>
  </w:style>
  <w:style w:type="table" w:customStyle="1" w:styleId="ListTable5Dark-Accent6">
    <w:name w:val="List Table 5 Dark - Accent 6"/>
    <w:uiPriority w:val="99"/>
    <w:rsid w:val="00B52DE3"/>
    <w:tblPr>
      <w:tblStyleRowBandSize w:val="1"/>
      <w:tblStyleColBandSize w:val="1"/>
      <w:tblBorders>
        <w:top w:val="single" w:sz="32" w:space="0" w:color="E9706E" w:themeColor="accent6" w:themeTint="98"/>
        <w:left w:val="single" w:sz="32" w:space="0" w:color="E9706E" w:themeColor="accent6" w:themeTint="98"/>
        <w:bottom w:val="single" w:sz="32" w:space="0" w:color="E9706E" w:themeColor="accent6" w:themeTint="98"/>
        <w:right w:val="single" w:sz="32" w:space="0" w:color="E9706E"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C9211E" w:themeColor="accent6"/>
          <w:bottom w:val="single" w:sz="12" w:space="0" w:color="FFFFFF" w:themeColor="light1"/>
        </w:tcBorders>
        <w:shd w:val="clear" w:color="E9706E" w:fill="E9706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C9211E" w:themeColor="accent6"/>
          <w:right w:val="single" w:sz="4" w:space="0" w:color="FFFFFF" w:themeColor="light1"/>
        </w:tcBorders>
      </w:tcPr>
    </w:tblStylePr>
    <w:tblStylePr w:type="lastCol">
      <w:tblPr/>
      <w:tcPr>
        <w:tcBorders>
          <w:left w:val="single" w:sz="4" w:space="0" w:color="FFFFFF" w:themeColor="light1"/>
          <w:right w:val="single" w:sz="32" w:space="0" w:color="C9211E" w:themeColor="accent6"/>
        </w:tcBorders>
      </w:tcPr>
    </w:tblStylePr>
    <w:tblStylePr w:type="band1Vert">
      <w:tblPr/>
      <w:tcPr>
        <w:tcBorders>
          <w:left w:val="single" w:sz="4" w:space="0" w:color="FFFFFF" w:themeColor="light1"/>
          <w:right w:val="single" w:sz="4" w:space="0" w:color="FFFFFF" w:themeColor="light1"/>
        </w:tcBorders>
        <w:shd w:val="clear" w:color="E9706E" w:fill="E9706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9706E" w:fill="E9706E" w:themeFill="accent6" w:themeFillTint="98"/>
      </w:tcPr>
    </w:tblStylePr>
    <w:tblStylePr w:type="band2Horz">
      <w:tblPr/>
      <w:tcPr>
        <w:tcBorders>
          <w:top w:val="single" w:sz="4" w:space="0" w:color="FFFFFF" w:themeColor="light1"/>
          <w:bottom w:val="single" w:sz="4" w:space="0" w:color="FFFFFF" w:themeColor="light1"/>
        </w:tcBorders>
        <w:shd w:val="clear" w:color="E9706E" w:fill="E9706E" w:themeFill="accent6" w:themeFillTint="98"/>
      </w:tcPr>
    </w:tblStylePr>
  </w:style>
  <w:style w:type="table" w:customStyle="1" w:styleId="ListTable6Colorful">
    <w:name w:val="List Table 6 Colorful"/>
    <w:uiPriority w:val="99"/>
    <w:rsid w:val="00B52DE3"/>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uiPriority w:val="99"/>
    <w:rsid w:val="00B52DE3"/>
    <w:tblPr>
      <w:tblStyleRowBandSize w:val="1"/>
      <w:tblStyleColBandSize w:val="1"/>
      <w:tblBorders>
        <w:top w:val="single" w:sz="4" w:space="0" w:color="18A303" w:themeColor="accent1"/>
        <w:bottom w:val="single" w:sz="4" w:space="0" w:color="18A303" w:themeColor="accent1"/>
      </w:tblBorders>
      <w:tblCellMar>
        <w:top w:w="0" w:type="dxa"/>
        <w:left w:w="0" w:type="dxa"/>
        <w:bottom w:w="0" w:type="dxa"/>
        <w:right w:w="0" w:type="dxa"/>
      </w:tblCellMar>
    </w:tblPr>
    <w:tblStylePr w:type="firstRow">
      <w:rPr>
        <w:b/>
        <w:color w:val="0D5E01" w:themeColor="accent1" w:themeShade="95"/>
      </w:rPr>
      <w:tblPr/>
      <w:tcPr>
        <w:tcBorders>
          <w:bottom w:val="single" w:sz="4" w:space="0" w:color="18A303" w:themeColor="accent1"/>
        </w:tcBorders>
      </w:tcPr>
    </w:tblStylePr>
    <w:tblStylePr w:type="lastRow">
      <w:rPr>
        <w:b/>
        <w:color w:val="0D5E01" w:themeColor="accent1" w:themeShade="95"/>
      </w:rPr>
      <w:tblPr/>
      <w:tcPr>
        <w:tcBorders>
          <w:top w:val="single" w:sz="4" w:space="0" w:color="18A303" w:themeColor="accent1"/>
        </w:tcBorders>
      </w:tcPr>
    </w:tblStylePr>
    <w:tblStylePr w:type="firstCol">
      <w:rPr>
        <w:b/>
        <w:color w:val="0D5E01" w:themeColor="accent1" w:themeShade="95"/>
      </w:rPr>
    </w:tblStylePr>
    <w:tblStylePr w:type="lastCol">
      <w:rPr>
        <w:b/>
        <w:color w:val="0D5E01" w:themeColor="accent1" w:themeShade="95"/>
      </w:rPr>
    </w:tblStylePr>
    <w:tblStylePr w:type="band1Vert">
      <w:tblPr/>
      <w:tcPr>
        <w:shd w:val="clear" w:color="B4FDA9" w:fill="B4FDA9" w:themeFill="accent1" w:themeFillTint="40"/>
      </w:tcPr>
    </w:tblStylePr>
    <w:tblStylePr w:type="band1Horz">
      <w:rPr>
        <w:color w:val="0D5E01" w:themeColor="accent1" w:themeShade="95"/>
        <w:sz w:val="22"/>
      </w:rPr>
      <w:tblPr/>
      <w:tcPr>
        <w:shd w:val="clear" w:color="B4FDA9" w:fill="B4FDA9" w:themeFill="accent1" w:themeFillTint="40"/>
      </w:tcPr>
    </w:tblStylePr>
    <w:tblStylePr w:type="band2Horz">
      <w:rPr>
        <w:color w:val="0D5E01" w:themeColor="accent1" w:themeShade="95"/>
        <w:sz w:val="22"/>
      </w:rPr>
    </w:tblStylePr>
  </w:style>
  <w:style w:type="table" w:customStyle="1" w:styleId="ListTable6Colorful-Accent2">
    <w:name w:val="List Table 6 Colorful - Accent 2"/>
    <w:uiPriority w:val="99"/>
    <w:rsid w:val="00B52DE3"/>
    <w:tblPr>
      <w:tblStyleRowBandSize w:val="1"/>
      <w:tblStyleColBandSize w:val="1"/>
      <w:tblBorders>
        <w:top w:val="single" w:sz="4" w:space="0" w:color="36B3FB" w:themeColor="accent2" w:themeTint="97"/>
        <w:bottom w:val="single" w:sz="4" w:space="0" w:color="36B3FB" w:themeColor="accent2" w:themeTint="97"/>
      </w:tblBorders>
      <w:tblCellMar>
        <w:top w:w="0" w:type="dxa"/>
        <w:left w:w="0" w:type="dxa"/>
        <w:bottom w:w="0" w:type="dxa"/>
        <w:right w:w="0" w:type="dxa"/>
      </w:tblCellMar>
    </w:tblPr>
    <w:tblStylePr w:type="firstRow">
      <w:rPr>
        <w:b/>
        <w:color w:val="36B3FB" w:themeColor="accent2" w:themeTint="97" w:themeShade="95"/>
      </w:rPr>
      <w:tblPr/>
      <w:tcPr>
        <w:tcBorders>
          <w:bottom w:val="single" w:sz="4" w:space="0" w:color="0369A3" w:themeColor="accent2"/>
        </w:tcBorders>
      </w:tcPr>
    </w:tblStylePr>
    <w:tblStylePr w:type="lastRow">
      <w:rPr>
        <w:b/>
        <w:color w:val="36B3FB" w:themeColor="accent2" w:themeTint="97" w:themeShade="95"/>
      </w:rPr>
      <w:tblPr/>
      <w:tcPr>
        <w:tcBorders>
          <w:top w:val="single" w:sz="4" w:space="0" w:color="0369A3" w:themeColor="accent2"/>
        </w:tcBorders>
      </w:tcPr>
    </w:tblStylePr>
    <w:tblStylePr w:type="firstCol">
      <w:rPr>
        <w:b/>
        <w:color w:val="36B3FB" w:themeColor="accent2" w:themeTint="97" w:themeShade="95"/>
      </w:rPr>
    </w:tblStylePr>
    <w:tblStylePr w:type="lastCol">
      <w:rPr>
        <w:b/>
        <w:color w:val="36B3FB" w:themeColor="accent2" w:themeTint="97" w:themeShade="95"/>
      </w:rPr>
    </w:tblStylePr>
    <w:tblStylePr w:type="band1Vert">
      <w:tblPr/>
      <w:tcPr>
        <w:shd w:val="clear" w:color="A9DEFD" w:fill="A9DEFD" w:themeFill="accent2" w:themeFillTint="40"/>
      </w:tcPr>
    </w:tblStylePr>
    <w:tblStylePr w:type="band1Horz">
      <w:rPr>
        <w:color w:val="36B3FB" w:themeColor="accent2" w:themeTint="97" w:themeShade="95"/>
        <w:sz w:val="22"/>
      </w:rPr>
      <w:tblPr/>
      <w:tcPr>
        <w:shd w:val="clear" w:color="A9DEFD" w:fill="A9DEFD" w:themeFill="accent2" w:themeFillTint="40"/>
      </w:tcPr>
    </w:tblStylePr>
    <w:tblStylePr w:type="band2Horz">
      <w:rPr>
        <w:color w:val="36B3FB" w:themeColor="accent2" w:themeTint="97" w:themeShade="95"/>
        <w:sz w:val="22"/>
      </w:rPr>
    </w:tblStylePr>
  </w:style>
  <w:style w:type="table" w:customStyle="1" w:styleId="ListTable6Colorful-Accent3">
    <w:name w:val="List Table 6 Colorful - Accent 3"/>
    <w:uiPriority w:val="99"/>
    <w:rsid w:val="00B52DE3"/>
    <w:tblPr>
      <w:tblStyleRowBandSize w:val="1"/>
      <w:tblStyleColBandSize w:val="1"/>
      <w:tblBorders>
        <w:top w:val="single" w:sz="4" w:space="0" w:color="FB7E35" w:themeColor="accent3" w:themeTint="98"/>
        <w:bottom w:val="single" w:sz="4" w:space="0" w:color="FB7E35" w:themeColor="accent3" w:themeTint="98"/>
      </w:tblBorders>
      <w:tblCellMar>
        <w:top w:w="0" w:type="dxa"/>
        <w:left w:w="0" w:type="dxa"/>
        <w:bottom w:w="0" w:type="dxa"/>
        <w:right w:w="0" w:type="dxa"/>
      </w:tblCellMar>
    </w:tblPr>
    <w:tblStylePr w:type="firstRow">
      <w:rPr>
        <w:b/>
        <w:color w:val="FB7E35" w:themeColor="accent3" w:themeTint="98" w:themeShade="95"/>
      </w:rPr>
      <w:tblPr/>
      <w:tcPr>
        <w:tcBorders>
          <w:bottom w:val="single" w:sz="4" w:space="0" w:color="A33E03" w:themeColor="accent3"/>
        </w:tcBorders>
      </w:tcPr>
    </w:tblStylePr>
    <w:tblStylePr w:type="lastRow">
      <w:rPr>
        <w:b/>
        <w:color w:val="FB7E35" w:themeColor="accent3" w:themeTint="98" w:themeShade="95"/>
      </w:rPr>
      <w:tblPr/>
      <w:tcPr>
        <w:tcBorders>
          <w:top w:val="single" w:sz="4" w:space="0" w:color="A33E03" w:themeColor="accent3"/>
        </w:tcBorders>
      </w:tcPr>
    </w:tblStylePr>
    <w:tblStylePr w:type="firstCol">
      <w:rPr>
        <w:b/>
        <w:color w:val="FB7E35" w:themeColor="accent3" w:themeTint="98" w:themeShade="95"/>
      </w:rPr>
    </w:tblStylePr>
    <w:tblStylePr w:type="lastCol">
      <w:rPr>
        <w:b/>
        <w:color w:val="FB7E35" w:themeColor="accent3" w:themeTint="98" w:themeShade="95"/>
      </w:rPr>
    </w:tblStylePr>
    <w:tblStylePr w:type="band1Vert">
      <w:tblPr/>
      <w:tcPr>
        <w:shd w:val="clear" w:color="FDC8A9" w:fill="FDC8A9" w:themeFill="accent3" w:themeFillTint="40"/>
      </w:tcPr>
    </w:tblStylePr>
    <w:tblStylePr w:type="band1Horz">
      <w:rPr>
        <w:color w:val="FB7E35" w:themeColor="accent3" w:themeTint="98" w:themeShade="95"/>
        <w:sz w:val="22"/>
      </w:rPr>
      <w:tblPr/>
      <w:tcPr>
        <w:shd w:val="clear" w:color="FDC8A9" w:fill="FDC8A9" w:themeFill="accent3" w:themeFillTint="40"/>
      </w:tcPr>
    </w:tblStylePr>
    <w:tblStylePr w:type="band2Horz">
      <w:rPr>
        <w:color w:val="FB7E35" w:themeColor="accent3" w:themeTint="98" w:themeShade="95"/>
        <w:sz w:val="22"/>
      </w:rPr>
    </w:tblStylePr>
  </w:style>
  <w:style w:type="table" w:customStyle="1" w:styleId="ListTable6Colorful-Accent4">
    <w:name w:val="List Table 6 Colorful - Accent 4"/>
    <w:uiPriority w:val="99"/>
    <w:rsid w:val="00B52DE3"/>
    <w:tblPr>
      <w:tblStyleRowBandSize w:val="1"/>
      <w:tblStyleColBandSize w:val="1"/>
      <w:tblBorders>
        <w:top w:val="single" w:sz="4" w:space="0" w:color="E032FB" w:themeColor="accent4" w:themeTint="9A"/>
        <w:bottom w:val="single" w:sz="4" w:space="0" w:color="E032FB" w:themeColor="accent4" w:themeTint="9A"/>
      </w:tblBorders>
      <w:tblCellMar>
        <w:top w:w="0" w:type="dxa"/>
        <w:left w:w="0" w:type="dxa"/>
        <w:bottom w:w="0" w:type="dxa"/>
        <w:right w:w="0" w:type="dxa"/>
      </w:tblCellMar>
    </w:tblPr>
    <w:tblStylePr w:type="firstRow">
      <w:rPr>
        <w:b/>
        <w:color w:val="E032FB" w:themeColor="accent4" w:themeTint="9A" w:themeShade="95"/>
      </w:rPr>
      <w:tblPr/>
      <w:tcPr>
        <w:tcBorders>
          <w:bottom w:val="single" w:sz="4" w:space="0" w:color="8E03A3" w:themeColor="accent4"/>
        </w:tcBorders>
      </w:tcPr>
    </w:tblStylePr>
    <w:tblStylePr w:type="lastRow">
      <w:rPr>
        <w:b/>
        <w:color w:val="E032FB" w:themeColor="accent4" w:themeTint="9A" w:themeShade="95"/>
      </w:rPr>
      <w:tblPr/>
      <w:tcPr>
        <w:tcBorders>
          <w:top w:val="single" w:sz="4" w:space="0" w:color="8E03A3" w:themeColor="accent4"/>
        </w:tcBorders>
      </w:tcPr>
    </w:tblStylePr>
    <w:tblStylePr w:type="firstCol">
      <w:rPr>
        <w:b/>
        <w:color w:val="E032FB" w:themeColor="accent4" w:themeTint="9A" w:themeShade="95"/>
      </w:rPr>
    </w:tblStylePr>
    <w:tblStylePr w:type="lastCol">
      <w:rPr>
        <w:b/>
        <w:color w:val="E032FB" w:themeColor="accent4" w:themeTint="9A" w:themeShade="95"/>
      </w:rPr>
    </w:tblStylePr>
    <w:tblStylePr w:type="band1Vert">
      <w:tblPr/>
      <w:tcPr>
        <w:shd w:val="clear" w:color="F2A9FD" w:fill="F2A9FD" w:themeFill="accent4" w:themeFillTint="40"/>
      </w:tcPr>
    </w:tblStylePr>
    <w:tblStylePr w:type="band1Horz">
      <w:rPr>
        <w:color w:val="E032FB" w:themeColor="accent4" w:themeTint="9A" w:themeShade="95"/>
        <w:sz w:val="22"/>
      </w:rPr>
      <w:tblPr/>
      <w:tcPr>
        <w:shd w:val="clear" w:color="F2A9FD" w:fill="F2A9FD" w:themeFill="accent4" w:themeFillTint="40"/>
      </w:tcPr>
    </w:tblStylePr>
    <w:tblStylePr w:type="band2Horz">
      <w:rPr>
        <w:color w:val="E032FB" w:themeColor="accent4" w:themeTint="9A" w:themeShade="95"/>
        <w:sz w:val="22"/>
      </w:rPr>
    </w:tblStylePr>
  </w:style>
  <w:style w:type="table" w:customStyle="1" w:styleId="ListTable6Colorful-Accent5">
    <w:name w:val="List Table 6 Colorful - Accent 5"/>
    <w:uiPriority w:val="99"/>
    <w:rsid w:val="00B52DE3"/>
    <w:tblPr>
      <w:tblStyleRowBandSize w:val="1"/>
      <w:tblStyleColBandSize w:val="1"/>
      <w:tblBorders>
        <w:top w:val="single" w:sz="4" w:space="0" w:color="FFD444" w:themeColor="accent5" w:themeTint="9A"/>
        <w:bottom w:val="single" w:sz="4" w:space="0" w:color="FFD444" w:themeColor="accent5" w:themeTint="9A"/>
      </w:tblBorders>
      <w:tblCellMar>
        <w:top w:w="0" w:type="dxa"/>
        <w:left w:w="0" w:type="dxa"/>
        <w:bottom w:w="0" w:type="dxa"/>
        <w:right w:w="0" w:type="dxa"/>
      </w:tblCellMar>
    </w:tblPr>
    <w:tblStylePr w:type="firstRow">
      <w:rPr>
        <w:b/>
        <w:color w:val="FFD444" w:themeColor="accent5" w:themeTint="9A" w:themeShade="95"/>
      </w:rPr>
      <w:tblPr/>
      <w:tcPr>
        <w:tcBorders>
          <w:bottom w:val="single" w:sz="4" w:space="0" w:color="C99C00" w:themeColor="accent5"/>
        </w:tcBorders>
      </w:tcPr>
    </w:tblStylePr>
    <w:tblStylePr w:type="lastRow">
      <w:rPr>
        <w:b/>
        <w:color w:val="FFD444" w:themeColor="accent5" w:themeTint="9A" w:themeShade="95"/>
      </w:rPr>
      <w:tblPr/>
      <w:tcPr>
        <w:tcBorders>
          <w:top w:val="single" w:sz="4" w:space="0" w:color="C99C00" w:themeColor="accent5"/>
        </w:tcBorders>
      </w:tcPr>
    </w:tblStylePr>
    <w:tblStylePr w:type="firstCol">
      <w:rPr>
        <w:b/>
        <w:color w:val="FFD444" w:themeColor="accent5" w:themeTint="9A" w:themeShade="95"/>
      </w:rPr>
    </w:tblStylePr>
    <w:tblStylePr w:type="lastCol">
      <w:rPr>
        <w:b/>
        <w:color w:val="FFD444" w:themeColor="accent5" w:themeTint="9A" w:themeShade="95"/>
      </w:rPr>
    </w:tblStylePr>
    <w:tblStylePr w:type="band1Vert">
      <w:tblPr/>
      <w:tcPr>
        <w:shd w:val="clear" w:color="FFEDB1" w:fill="FFEDB1" w:themeFill="accent5" w:themeFillTint="40"/>
      </w:tcPr>
    </w:tblStylePr>
    <w:tblStylePr w:type="band1Horz">
      <w:rPr>
        <w:color w:val="FFD444" w:themeColor="accent5" w:themeTint="9A" w:themeShade="95"/>
        <w:sz w:val="22"/>
      </w:rPr>
      <w:tblPr/>
      <w:tcPr>
        <w:shd w:val="clear" w:color="FFEDB1" w:fill="FFEDB1" w:themeFill="accent5" w:themeFillTint="40"/>
      </w:tcPr>
    </w:tblStylePr>
    <w:tblStylePr w:type="band2Horz">
      <w:rPr>
        <w:color w:val="FFD444" w:themeColor="accent5" w:themeTint="9A" w:themeShade="95"/>
        <w:sz w:val="22"/>
      </w:rPr>
    </w:tblStylePr>
  </w:style>
  <w:style w:type="table" w:customStyle="1" w:styleId="ListTable6Colorful-Accent6">
    <w:name w:val="List Table 6 Colorful - Accent 6"/>
    <w:uiPriority w:val="99"/>
    <w:rsid w:val="00B52DE3"/>
    <w:tblPr>
      <w:tblStyleRowBandSize w:val="1"/>
      <w:tblStyleColBandSize w:val="1"/>
      <w:tblBorders>
        <w:top w:val="single" w:sz="4" w:space="0" w:color="E9706E" w:themeColor="accent6" w:themeTint="98"/>
        <w:bottom w:val="single" w:sz="4" w:space="0" w:color="E9706E" w:themeColor="accent6" w:themeTint="98"/>
      </w:tblBorders>
      <w:tblCellMar>
        <w:top w:w="0" w:type="dxa"/>
        <w:left w:w="0" w:type="dxa"/>
        <w:bottom w:w="0" w:type="dxa"/>
        <w:right w:w="0" w:type="dxa"/>
      </w:tblCellMar>
    </w:tblPr>
    <w:tblStylePr w:type="firstRow">
      <w:rPr>
        <w:b/>
        <w:color w:val="E9706E" w:themeColor="accent6" w:themeTint="98" w:themeShade="95"/>
      </w:rPr>
      <w:tblPr/>
      <w:tcPr>
        <w:tcBorders>
          <w:bottom w:val="single" w:sz="4" w:space="0" w:color="C9211E" w:themeColor="accent6"/>
        </w:tcBorders>
      </w:tcPr>
    </w:tblStylePr>
    <w:tblStylePr w:type="lastRow">
      <w:rPr>
        <w:b/>
        <w:color w:val="E9706E" w:themeColor="accent6" w:themeTint="98" w:themeShade="95"/>
      </w:rPr>
      <w:tblPr/>
      <w:tcPr>
        <w:tcBorders>
          <w:top w:val="single" w:sz="4" w:space="0" w:color="C9211E" w:themeColor="accent6"/>
        </w:tcBorders>
      </w:tcPr>
    </w:tblStylePr>
    <w:tblStylePr w:type="firstCol">
      <w:rPr>
        <w:b/>
        <w:color w:val="E9706E" w:themeColor="accent6" w:themeTint="98" w:themeShade="95"/>
      </w:rPr>
    </w:tblStylePr>
    <w:tblStylePr w:type="lastCol">
      <w:rPr>
        <w:b/>
        <w:color w:val="E9706E" w:themeColor="accent6" w:themeTint="98" w:themeShade="95"/>
      </w:rPr>
    </w:tblStylePr>
    <w:tblStylePr w:type="band1Vert">
      <w:tblPr/>
      <w:tcPr>
        <w:shd w:val="clear" w:color="F6C2C1" w:fill="F6C2C1" w:themeFill="accent6" w:themeFillTint="40"/>
      </w:tcPr>
    </w:tblStylePr>
    <w:tblStylePr w:type="band1Horz">
      <w:rPr>
        <w:color w:val="E9706E" w:themeColor="accent6" w:themeTint="98" w:themeShade="95"/>
        <w:sz w:val="22"/>
      </w:rPr>
      <w:tblPr/>
      <w:tcPr>
        <w:shd w:val="clear" w:color="F6C2C1" w:fill="F6C2C1" w:themeFill="accent6" w:themeFillTint="40"/>
      </w:tcPr>
    </w:tblStylePr>
    <w:tblStylePr w:type="band2Horz">
      <w:rPr>
        <w:color w:val="E9706E" w:themeColor="accent6" w:themeTint="98" w:themeShade="95"/>
        <w:sz w:val="22"/>
      </w:rPr>
    </w:tblStylePr>
  </w:style>
  <w:style w:type="table" w:customStyle="1" w:styleId="ListTable7Colorful">
    <w:name w:val="List Table 7 Colorful"/>
    <w:uiPriority w:val="99"/>
    <w:rsid w:val="00B52DE3"/>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uiPriority w:val="99"/>
    <w:rsid w:val="00B52DE3"/>
    <w:tblPr>
      <w:tblStyleRowBandSize w:val="1"/>
      <w:tblStyleColBandSize w:val="1"/>
      <w:tblBorders>
        <w:right w:val="single" w:sz="4" w:space="0" w:color="18A303" w:themeColor="accent1"/>
      </w:tblBorders>
      <w:tblCellMar>
        <w:top w:w="0" w:type="dxa"/>
        <w:left w:w="0" w:type="dxa"/>
        <w:bottom w:w="0" w:type="dxa"/>
        <w:right w:w="0" w:type="dxa"/>
      </w:tblCellMar>
    </w:tblPr>
    <w:tblStylePr w:type="firstRow">
      <w:rPr>
        <w:i/>
        <w:color w:val="0D5E01" w:themeColor="accent1" w:themeShade="95"/>
        <w:sz w:val="22"/>
      </w:rPr>
      <w:tblPr/>
      <w:tcPr>
        <w:tcBorders>
          <w:top w:val="none" w:sz="4" w:space="0" w:color="000000"/>
          <w:left w:val="none" w:sz="4" w:space="0" w:color="000000"/>
          <w:bottom w:val="single" w:sz="4" w:space="0" w:color="18A303" w:themeColor="accent1"/>
          <w:right w:val="none" w:sz="4" w:space="0" w:color="000000"/>
        </w:tcBorders>
        <w:shd w:val="clear" w:color="FFFFFF" w:fill="FFFFFF" w:themeFill="light1"/>
      </w:tcPr>
    </w:tblStylePr>
    <w:tblStylePr w:type="lastRow">
      <w:rPr>
        <w:i/>
        <w:color w:val="0D5E01" w:themeColor="accent1" w:themeShade="95"/>
        <w:sz w:val="22"/>
      </w:rPr>
      <w:tblPr/>
      <w:tcPr>
        <w:tcBorders>
          <w:top w:val="single" w:sz="4" w:space="0" w:color="18A303"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0D5E01" w:themeColor="accent1" w:themeShade="95"/>
        <w:sz w:val="22"/>
      </w:rPr>
      <w:tblPr/>
      <w:tcPr>
        <w:tcBorders>
          <w:top w:val="none" w:sz="4" w:space="0" w:color="000000"/>
          <w:left w:val="none" w:sz="4" w:space="0" w:color="000000"/>
          <w:bottom w:val="none" w:sz="4" w:space="0" w:color="000000"/>
          <w:right w:val="single" w:sz="4" w:space="0" w:color="18A303" w:themeColor="accent1"/>
        </w:tcBorders>
        <w:shd w:val="clear" w:color="FFFFFF" w:fill="auto"/>
      </w:tcPr>
    </w:tblStylePr>
    <w:tblStylePr w:type="lastCol">
      <w:rPr>
        <w:i/>
        <w:color w:val="0D5E01" w:themeColor="accent1" w:themeShade="95"/>
        <w:sz w:val="22"/>
      </w:rPr>
      <w:tblPr/>
      <w:tcPr>
        <w:tcBorders>
          <w:top w:val="none" w:sz="4" w:space="0" w:color="000000"/>
          <w:left w:val="single" w:sz="4" w:space="0" w:color="18A303" w:themeColor="accent1"/>
          <w:bottom w:val="none" w:sz="4" w:space="0" w:color="000000"/>
          <w:right w:val="none" w:sz="4" w:space="0" w:color="000000"/>
        </w:tcBorders>
        <w:shd w:val="clear" w:color="FFFFFF" w:fill="auto"/>
      </w:tcPr>
    </w:tblStylePr>
    <w:tblStylePr w:type="band1Vert">
      <w:tblPr/>
      <w:tcPr>
        <w:shd w:val="clear" w:color="B4FDA9" w:fill="B4FDA9" w:themeFill="accent1" w:themeFillTint="40"/>
      </w:tcPr>
    </w:tblStylePr>
    <w:tblStylePr w:type="band1Horz">
      <w:rPr>
        <w:color w:val="0D5E01" w:themeColor="accent1" w:themeShade="95"/>
        <w:sz w:val="22"/>
      </w:rPr>
      <w:tblPr/>
      <w:tcPr>
        <w:shd w:val="clear" w:color="B4FDA9" w:fill="B4FDA9" w:themeFill="accent1" w:themeFillTint="40"/>
      </w:tcPr>
    </w:tblStylePr>
    <w:tblStylePr w:type="band2Horz">
      <w:rPr>
        <w:color w:val="0D5E01" w:themeColor="accent1" w:themeShade="95"/>
        <w:sz w:val="22"/>
      </w:rPr>
    </w:tblStylePr>
  </w:style>
  <w:style w:type="table" w:customStyle="1" w:styleId="ListTable7Colorful-Accent2">
    <w:name w:val="List Table 7 Colorful - Accent 2"/>
    <w:uiPriority w:val="99"/>
    <w:rsid w:val="00B52DE3"/>
    <w:tblPr>
      <w:tblStyleRowBandSize w:val="1"/>
      <w:tblStyleColBandSize w:val="1"/>
      <w:tblBorders>
        <w:right w:val="single" w:sz="4" w:space="0" w:color="36B3FB" w:themeColor="accent2" w:themeTint="97"/>
      </w:tblBorders>
      <w:tblCellMar>
        <w:top w:w="0" w:type="dxa"/>
        <w:left w:w="0" w:type="dxa"/>
        <w:bottom w:w="0" w:type="dxa"/>
        <w:right w:w="0" w:type="dxa"/>
      </w:tblCellMar>
    </w:tblPr>
    <w:tblStylePr w:type="firstRow">
      <w:rPr>
        <w:i/>
        <w:color w:val="36B3FB" w:themeColor="accent2" w:themeTint="97" w:themeShade="95"/>
        <w:sz w:val="22"/>
      </w:rPr>
      <w:tblPr/>
      <w:tcPr>
        <w:tcBorders>
          <w:top w:val="none" w:sz="4" w:space="0" w:color="000000"/>
          <w:left w:val="none" w:sz="4" w:space="0" w:color="000000"/>
          <w:bottom w:val="single" w:sz="4" w:space="0" w:color="0369A3" w:themeColor="accent2"/>
          <w:right w:val="none" w:sz="4" w:space="0" w:color="000000"/>
        </w:tcBorders>
        <w:shd w:val="clear" w:color="FFFFFF" w:fill="FFFFFF" w:themeFill="light1"/>
      </w:tcPr>
    </w:tblStylePr>
    <w:tblStylePr w:type="lastRow">
      <w:rPr>
        <w:i/>
        <w:color w:val="36B3FB" w:themeColor="accent2" w:themeTint="97" w:themeShade="95"/>
        <w:sz w:val="22"/>
      </w:rPr>
      <w:tblPr/>
      <w:tcPr>
        <w:tcBorders>
          <w:top w:val="single" w:sz="4" w:space="0" w:color="0369A3"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36B3FB" w:themeColor="accent2" w:themeTint="97" w:themeShade="95"/>
        <w:sz w:val="22"/>
      </w:rPr>
      <w:tblPr/>
      <w:tcPr>
        <w:tcBorders>
          <w:top w:val="none" w:sz="4" w:space="0" w:color="000000"/>
          <w:left w:val="none" w:sz="4" w:space="0" w:color="000000"/>
          <w:bottom w:val="none" w:sz="4" w:space="0" w:color="000000"/>
          <w:right w:val="single" w:sz="4" w:space="0" w:color="0369A3" w:themeColor="accent2"/>
        </w:tcBorders>
        <w:shd w:val="clear" w:color="FFFFFF" w:fill="auto"/>
      </w:tcPr>
    </w:tblStylePr>
    <w:tblStylePr w:type="lastCol">
      <w:rPr>
        <w:i/>
        <w:color w:val="36B3FB" w:themeColor="accent2" w:themeTint="97" w:themeShade="95"/>
        <w:sz w:val="22"/>
      </w:rPr>
      <w:tblPr/>
      <w:tcPr>
        <w:tcBorders>
          <w:top w:val="none" w:sz="4" w:space="0" w:color="000000"/>
          <w:left w:val="single" w:sz="4" w:space="0" w:color="0369A3" w:themeColor="accent2"/>
          <w:bottom w:val="none" w:sz="4" w:space="0" w:color="000000"/>
          <w:right w:val="none" w:sz="4" w:space="0" w:color="000000"/>
        </w:tcBorders>
        <w:shd w:val="clear" w:color="FFFFFF" w:fill="auto"/>
      </w:tcPr>
    </w:tblStylePr>
    <w:tblStylePr w:type="band1Vert">
      <w:tblPr/>
      <w:tcPr>
        <w:shd w:val="clear" w:color="A9DEFD" w:fill="A9DEFD" w:themeFill="accent2" w:themeFillTint="40"/>
      </w:tcPr>
    </w:tblStylePr>
    <w:tblStylePr w:type="band1Horz">
      <w:rPr>
        <w:color w:val="36B3FB" w:themeColor="accent2" w:themeTint="97" w:themeShade="95"/>
        <w:sz w:val="22"/>
      </w:rPr>
      <w:tblPr/>
      <w:tcPr>
        <w:shd w:val="clear" w:color="A9DEFD" w:fill="A9DEFD" w:themeFill="accent2" w:themeFillTint="40"/>
      </w:tcPr>
    </w:tblStylePr>
    <w:tblStylePr w:type="band2Horz">
      <w:rPr>
        <w:color w:val="36B3FB" w:themeColor="accent2" w:themeTint="97" w:themeShade="95"/>
        <w:sz w:val="22"/>
      </w:rPr>
    </w:tblStylePr>
  </w:style>
  <w:style w:type="table" w:customStyle="1" w:styleId="ListTable7Colorful-Accent3">
    <w:name w:val="List Table 7 Colorful - Accent 3"/>
    <w:uiPriority w:val="99"/>
    <w:rsid w:val="00B52DE3"/>
    <w:tblPr>
      <w:tblStyleRowBandSize w:val="1"/>
      <w:tblStyleColBandSize w:val="1"/>
      <w:tblBorders>
        <w:right w:val="single" w:sz="4" w:space="0" w:color="FB7E35" w:themeColor="accent3" w:themeTint="98"/>
      </w:tblBorders>
      <w:tblCellMar>
        <w:top w:w="0" w:type="dxa"/>
        <w:left w:w="0" w:type="dxa"/>
        <w:bottom w:w="0" w:type="dxa"/>
        <w:right w:w="0" w:type="dxa"/>
      </w:tblCellMar>
    </w:tblPr>
    <w:tblStylePr w:type="firstRow">
      <w:rPr>
        <w:i/>
        <w:color w:val="FB7E35" w:themeColor="accent3" w:themeTint="98" w:themeShade="95"/>
        <w:sz w:val="22"/>
      </w:rPr>
      <w:tblPr/>
      <w:tcPr>
        <w:tcBorders>
          <w:top w:val="none" w:sz="4" w:space="0" w:color="000000"/>
          <w:left w:val="none" w:sz="4" w:space="0" w:color="000000"/>
          <w:bottom w:val="single" w:sz="4" w:space="0" w:color="A33E03" w:themeColor="accent3"/>
          <w:right w:val="none" w:sz="4" w:space="0" w:color="000000"/>
        </w:tcBorders>
        <w:shd w:val="clear" w:color="FFFFFF" w:fill="FFFFFF" w:themeFill="light1"/>
      </w:tcPr>
    </w:tblStylePr>
    <w:tblStylePr w:type="lastRow">
      <w:rPr>
        <w:i/>
        <w:color w:val="FB7E35" w:themeColor="accent3" w:themeTint="98" w:themeShade="95"/>
        <w:sz w:val="22"/>
      </w:rPr>
      <w:tblPr/>
      <w:tcPr>
        <w:tcBorders>
          <w:top w:val="single" w:sz="4" w:space="0" w:color="A33E03"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B7E35" w:themeColor="accent3" w:themeTint="98" w:themeShade="95"/>
        <w:sz w:val="22"/>
      </w:rPr>
      <w:tblPr/>
      <w:tcPr>
        <w:tcBorders>
          <w:top w:val="none" w:sz="4" w:space="0" w:color="000000"/>
          <w:left w:val="none" w:sz="4" w:space="0" w:color="000000"/>
          <w:bottom w:val="none" w:sz="4" w:space="0" w:color="000000"/>
          <w:right w:val="single" w:sz="4" w:space="0" w:color="A33E03" w:themeColor="accent3"/>
        </w:tcBorders>
        <w:shd w:val="clear" w:color="FFFFFF" w:fill="auto"/>
      </w:tcPr>
    </w:tblStylePr>
    <w:tblStylePr w:type="lastCol">
      <w:rPr>
        <w:i/>
        <w:color w:val="FB7E35" w:themeColor="accent3" w:themeTint="98" w:themeShade="95"/>
        <w:sz w:val="22"/>
      </w:rPr>
      <w:tblPr/>
      <w:tcPr>
        <w:tcBorders>
          <w:top w:val="none" w:sz="4" w:space="0" w:color="000000"/>
          <w:left w:val="single" w:sz="4" w:space="0" w:color="A33E03" w:themeColor="accent3"/>
          <w:bottom w:val="none" w:sz="4" w:space="0" w:color="000000"/>
          <w:right w:val="none" w:sz="4" w:space="0" w:color="000000"/>
        </w:tcBorders>
        <w:shd w:val="clear" w:color="FFFFFF" w:fill="auto"/>
      </w:tcPr>
    </w:tblStylePr>
    <w:tblStylePr w:type="band1Vert">
      <w:tblPr/>
      <w:tcPr>
        <w:shd w:val="clear" w:color="FDC8A9" w:fill="FDC8A9" w:themeFill="accent3" w:themeFillTint="40"/>
      </w:tcPr>
    </w:tblStylePr>
    <w:tblStylePr w:type="band1Horz">
      <w:rPr>
        <w:color w:val="FB7E35" w:themeColor="accent3" w:themeTint="98" w:themeShade="95"/>
        <w:sz w:val="22"/>
      </w:rPr>
      <w:tblPr/>
      <w:tcPr>
        <w:shd w:val="clear" w:color="FDC8A9" w:fill="FDC8A9" w:themeFill="accent3" w:themeFillTint="40"/>
      </w:tcPr>
    </w:tblStylePr>
    <w:tblStylePr w:type="band2Horz">
      <w:rPr>
        <w:color w:val="FB7E35" w:themeColor="accent3" w:themeTint="98" w:themeShade="95"/>
        <w:sz w:val="22"/>
      </w:rPr>
    </w:tblStylePr>
  </w:style>
  <w:style w:type="table" w:customStyle="1" w:styleId="ListTable7Colorful-Accent4">
    <w:name w:val="List Table 7 Colorful - Accent 4"/>
    <w:uiPriority w:val="99"/>
    <w:rsid w:val="00B52DE3"/>
    <w:tblPr>
      <w:tblStyleRowBandSize w:val="1"/>
      <w:tblStyleColBandSize w:val="1"/>
      <w:tblBorders>
        <w:right w:val="single" w:sz="4" w:space="0" w:color="E032FB" w:themeColor="accent4" w:themeTint="9A"/>
      </w:tblBorders>
      <w:tblCellMar>
        <w:top w:w="0" w:type="dxa"/>
        <w:left w:w="0" w:type="dxa"/>
        <w:bottom w:w="0" w:type="dxa"/>
        <w:right w:w="0" w:type="dxa"/>
      </w:tblCellMar>
    </w:tblPr>
    <w:tblStylePr w:type="firstRow">
      <w:rPr>
        <w:i/>
        <w:color w:val="E032FB" w:themeColor="accent4" w:themeTint="9A" w:themeShade="95"/>
        <w:sz w:val="22"/>
      </w:rPr>
      <w:tblPr/>
      <w:tcPr>
        <w:tcBorders>
          <w:top w:val="none" w:sz="4" w:space="0" w:color="000000"/>
          <w:left w:val="none" w:sz="4" w:space="0" w:color="000000"/>
          <w:bottom w:val="single" w:sz="4" w:space="0" w:color="8E03A3" w:themeColor="accent4"/>
          <w:right w:val="none" w:sz="4" w:space="0" w:color="000000"/>
        </w:tcBorders>
        <w:shd w:val="clear" w:color="FFFFFF" w:fill="FFFFFF" w:themeFill="light1"/>
      </w:tcPr>
    </w:tblStylePr>
    <w:tblStylePr w:type="lastRow">
      <w:rPr>
        <w:i/>
        <w:color w:val="E032FB" w:themeColor="accent4" w:themeTint="9A" w:themeShade="95"/>
        <w:sz w:val="22"/>
      </w:rPr>
      <w:tblPr/>
      <w:tcPr>
        <w:tcBorders>
          <w:top w:val="single" w:sz="4" w:space="0" w:color="8E03A3"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E032FB" w:themeColor="accent4" w:themeTint="9A" w:themeShade="95"/>
        <w:sz w:val="22"/>
      </w:rPr>
      <w:tblPr/>
      <w:tcPr>
        <w:tcBorders>
          <w:top w:val="none" w:sz="4" w:space="0" w:color="000000"/>
          <w:left w:val="none" w:sz="4" w:space="0" w:color="000000"/>
          <w:bottom w:val="none" w:sz="4" w:space="0" w:color="000000"/>
          <w:right w:val="single" w:sz="4" w:space="0" w:color="8E03A3" w:themeColor="accent4"/>
        </w:tcBorders>
        <w:shd w:val="clear" w:color="FFFFFF" w:fill="auto"/>
      </w:tcPr>
    </w:tblStylePr>
    <w:tblStylePr w:type="lastCol">
      <w:rPr>
        <w:i/>
        <w:color w:val="E032FB" w:themeColor="accent4" w:themeTint="9A" w:themeShade="95"/>
        <w:sz w:val="22"/>
      </w:rPr>
      <w:tblPr/>
      <w:tcPr>
        <w:tcBorders>
          <w:top w:val="none" w:sz="4" w:space="0" w:color="000000"/>
          <w:left w:val="single" w:sz="4" w:space="0" w:color="8E03A3" w:themeColor="accent4"/>
          <w:bottom w:val="none" w:sz="4" w:space="0" w:color="000000"/>
          <w:right w:val="none" w:sz="4" w:space="0" w:color="000000"/>
        </w:tcBorders>
        <w:shd w:val="clear" w:color="FFFFFF" w:fill="auto"/>
      </w:tcPr>
    </w:tblStylePr>
    <w:tblStylePr w:type="band1Vert">
      <w:tblPr/>
      <w:tcPr>
        <w:shd w:val="clear" w:color="F2A9FD" w:fill="F2A9FD" w:themeFill="accent4" w:themeFillTint="40"/>
      </w:tcPr>
    </w:tblStylePr>
    <w:tblStylePr w:type="band1Horz">
      <w:rPr>
        <w:color w:val="E032FB" w:themeColor="accent4" w:themeTint="9A" w:themeShade="95"/>
        <w:sz w:val="22"/>
      </w:rPr>
      <w:tblPr/>
      <w:tcPr>
        <w:shd w:val="clear" w:color="F2A9FD" w:fill="F2A9FD" w:themeFill="accent4" w:themeFillTint="40"/>
      </w:tcPr>
    </w:tblStylePr>
    <w:tblStylePr w:type="band2Horz">
      <w:rPr>
        <w:color w:val="E032FB" w:themeColor="accent4" w:themeTint="9A" w:themeShade="95"/>
        <w:sz w:val="22"/>
      </w:rPr>
    </w:tblStylePr>
  </w:style>
  <w:style w:type="table" w:customStyle="1" w:styleId="ListTable7Colorful-Accent5">
    <w:name w:val="List Table 7 Colorful - Accent 5"/>
    <w:uiPriority w:val="99"/>
    <w:rsid w:val="00B52DE3"/>
    <w:tblPr>
      <w:tblStyleRowBandSize w:val="1"/>
      <w:tblStyleColBandSize w:val="1"/>
      <w:tblBorders>
        <w:right w:val="single" w:sz="4" w:space="0" w:color="FFD444" w:themeColor="accent5" w:themeTint="9A"/>
      </w:tblBorders>
      <w:tblCellMar>
        <w:top w:w="0" w:type="dxa"/>
        <w:left w:w="0" w:type="dxa"/>
        <w:bottom w:w="0" w:type="dxa"/>
        <w:right w:w="0" w:type="dxa"/>
      </w:tblCellMar>
    </w:tblPr>
    <w:tblStylePr w:type="firstRow">
      <w:rPr>
        <w:i/>
        <w:color w:val="FFD444" w:themeColor="accent5" w:themeTint="9A" w:themeShade="95"/>
        <w:sz w:val="22"/>
      </w:rPr>
      <w:tblPr/>
      <w:tcPr>
        <w:tcBorders>
          <w:top w:val="none" w:sz="4" w:space="0" w:color="000000"/>
          <w:left w:val="none" w:sz="4" w:space="0" w:color="000000"/>
          <w:bottom w:val="single" w:sz="4" w:space="0" w:color="C99C00" w:themeColor="accent5"/>
          <w:right w:val="none" w:sz="4" w:space="0" w:color="000000"/>
        </w:tcBorders>
        <w:shd w:val="clear" w:color="FFFFFF" w:fill="FFFFFF" w:themeFill="light1"/>
      </w:tcPr>
    </w:tblStylePr>
    <w:tblStylePr w:type="lastRow">
      <w:rPr>
        <w:i/>
        <w:color w:val="FFD444" w:themeColor="accent5" w:themeTint="9A" w:themeShade="95"/>
        <w:sz w:val="22"/>
      </w:rPr>
      <w:tblPr/>
      <w:tcPr>
        <w:tcBorders>
          <w:top w:val="single" w:sz="4" w:space="0" w:color="C99C00"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444" w:themeColor="accent5" w:themeTint="9A" w:themeShade="95"/>
        <w:sz w:val="22"/>
      </w:rPr>
      <w:tblPr/>
      <w:tcPr>
        <w:tcBorders>
          <w:top w:val="none" w:sz="4" w:space="0" w:color="000000"/>
          <w:left w:val="none" w:sz="4" w:space="0" w:color="000000"/>
          <w:bottom w:val="none" w:sz="4" w:space="0" w:color="000000"/>
          <w:right w:val="single" w:sz="4" w:space="0" w:color="C99C00" w:themeColor="accent5"/>
        </w:tcBorders>
        <w:shd w:val="clear" w:color="FFFFFF" w:fill="auto"/>
      </w:tcPr>
    </w:tblStylePr>
    <w:tblStylePr w:type="lastCol">
      <w:rPr>
        <w:i/>
        <w:color w:val="FFD444" w:themeColor="accent5" w:themeTint="9A" w:themeShade="95"/>
        <w:sz w:val="22"/>
      </w:rPr>
      <w:tblPr/>
      <w:tcPr>
        <w:tcBorders>
          <w:top w:val="none" w:sz="4" w:space="0" w:color="000000"/>
          <w:left w:val="single" w:sz="4" w:space="0" w:color="C99C00" w:themeColor="accent5"/>
          <w:bottom w:val="none" w:sz="4" w:space="0" w:color="000000"/>
          <w:right w:val="none" w:sz="4" w:space="0" w:color="000000"/>
        </w:tcBorders>
        <w:shd w:val="clear" w:color="FFFFFF" w:fill="auto"/>
      </w:tcPr>
    </w:tblStylePr>
    <w:tblStylePr w:type="band1Vert">
      <w:tblPr/>
      <w:tcPr>
        <w:shd w:val="clear" w:color="FFEDB1" w:fill="FFEDB1" w:themeFill="accent5" w:themeFillTint="40"/>
      </w:tcPr>
    </w:tblStylePr>
    <w:tblStylePr w:type="band1Horz">
      <w:rPr>
        <w:color w:val="FFD444" w:themeColor="accent5" w:themeTint="9A" w:themeShade="95"/>
        <w:sz w:val="22"/>
      </w:rPr>
      <w:tblPr/>
      <w:tcPr>
        <w:shd w:val="clear" w:color="FFEDB1" w:fill="FFEDB1" w:themeFill="accent5" w:themeFillTint="40"/>
      </w:tcPr>
    </w:tblStylePr>
    <w:tblStylePr w:type="band2Horz">
      <w:rPr>
        <w:color w:val="FFD444" w:themeColor="accent5" w:themeTint="9A" w:themeShade="95"/>
        <w:sz w:val="22"/>
      </w:rPr>
    </w:tblStylePr>
  </w:style>
  <w:style w:type="table" w:customStyle="1" w:styleId="ListTable7Colorful-Accent6">
    <w:name w:val="List Table 7 Colorful - Accent 6"/>
    <w:uiPriority w:val="99"/>
    <w:rsid w:val="00B52DE3"/>
    <w:tblPr>
      <w:tblStyleRowBandSize w:val="1"/>
      <w:tblStyleColBandSize w:val="1"/>
      <w:tblBorders>
        <w:right w:val="single" w:sz="4" w:space="0" w:color="E9706E" w:themeColor="accent6" w:themeTint="98"/>
      </w:tblBorders>
      <w:tblCellMar>
        <w:top w:w="0" w:type="dxa"/>
        <w:left w:w="0" w:type="dxa"/>
        <w:bottom w:w="0" w:type="dxa"/>
        <w:right w:w="0" w:type="dxa"/>
      </w:tblCellMar>
    </w:tblPr>
    <w:tblStylePr w:type="firstRow">
      <w:rPr>
        <w:i/>
        <w:color w:val="E9706E" w:themeColor="accent6" w:themeTint="98" w:themeShade="95"/>
        <w:sz w:val="22"/>
      </w:rPr>
      <w:tblPr/>
      <w:tcPr>
        <w:tcBorders>
          <w:top w:val="none" w:sz="4" w:space="0" w:color="000000"/>
          <w:left w:val="none" w:sz="4" w:space="0" w:color="000000"/>
          <w:bottom w:val="single" w:sz="4" w:space="0" w:color="C9211E" w:themeColor="accent6"/>
          <w:right w:val="none" w:sz="4" w:space="0" w:color="000000"/>
        </w:tcBorders>
        <w:shd w:val="clear" w:color="FFFFFF" w:fill="FFFFFF" w:themeFill="light1"/>
      </w:tcPr>
    </w:tblStylePr>
    <w:tblStylePr w:type="lastRow">
      <w:rPr>
        <w:i/>
        <w:color w:val="E9706E" w:themeColor="accent6" w:themeTint="98" w:themeShade="95"/>
        <w:sz w:val="22"/>
      </w:rPr>
      <w:tblPr/>
      <w:tcPr>
        <w:tcBorders>
          <w:top w:val="single" w:sz="4" w:space="0" w:color="C9211E"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E9706E" w:themeColor="accent6" w:themeTint="98" w:themeShade="95"/>
        <w:sz w:val="22"/>
      </w:rPr>
      <w:tblPr/>
      <w:tcPr>
        <w:tcBorders>
          <w:top w:val="none" w:sz="4" w:space="0" w:color="000000"/>
          <w:left w:val="none" w:sz="4" w:space="0" w:color="000000"/>
          <w:bottom w:val="none" w:sz="4" w:space="0" w:color="000000"/>
          <w:right w:val="single" w:sz="4" w:space="0" w:color="C9211E" w:themeColor="accent6"/>
        </w:tcBorders>
        <w:shd w:val="clear" w:color="FFFFFF" w:fill="auto"/>
      </w:tcPr>
    </w:tblStylePr>
    <w:tblStylePr w:type="lastCol">
      <w:rPr>
        <w:i/>
        <w:color w:val="E9706E" w:themeColor="accent6" w:themeTint="98" w:themeShade="95"/>
        <w:sz w:val="22"/>
      </w:rPr>
      <w:tblPr/>
      <w:tcPr>
        <w:tcBorders>
          <w:top w:val="none" w:sz="4" w:space="0" w:color="000000"/>
          <w:left w:val="single" w:sz="4" w:space="0" w:color="C9211E" w:themeColor="accent6"/>
          <w:bottom w:val="none" w:sz="4" w:space="0" w:color="000000"/>
          <w:right w:val="none" w:sz="4" w:space="0" w:color="000000"/>
        </w:tcBorders>
        <w:shd w:val="clear" w:color="FFFFFF" w:fill="auto"/>
      </w:tcPr>
    </w:tblStylePr>
    <w:tblStylePr w:type="band1Vert">
      <w:tblPr/>
      <w:tcPr>
        <w:shd w:val="clear" w:color="F6C2C1" w:fill="F6C2C1" w:themeFill="accent6" w:themeFillTint="40"/>
      </w:tcPr>
    </w:tblStylePr>
    <w:tblStylePr w:type="band1Horz">
      <w:rPr>
        <w:color w:val="E9706E" w:themeColor="accent6" w:themeTint="98" w:themeShade="95"/>
        <w:sz w:val="22"/>
      </w:rPr>
      <w:tblPr/>
      <w:tcPr>
        <w:shd w:val="clear" w:color="F6C2C1" w:fill="F6C2C1" w:themeFill="accent6" w:themeFillTint="40"/>
      </w:tcPr>
    </w:tblStylePr>
    <w:tblStylePr w:type="band2Horz">
      <w:rPr>
        <w:color w:val="E9706E" w:themeColor="accent6" w:themeTint="98" w:themeShade="95"/>
        <w:sz w:val="22"/>
      </w:rPr>
    </w:tblStylePr>
  </w:style>
  <w:style w:type="table" w:customStyle="1" w:styleId="Lined-Accent">
    <w:name w:val="Lined - Accent"/>
    <w:uiPriority w:val="99"/>
    <w:rsid w:val="00B52DE3"/>
    <w:tblPr>
      <w:tblStyleRowBandSize w:val="1"/>
      <w:tblStyleColBandSize w:val="1"/>
      <w:tblCellMar>
        <w:top w:w="0" w:type="dxa"/>
        <w:left w:w="0" w:type="dxa"/>
        <w:bottom w:w="0" w:type="dxa"/>
        <w:right w:w="0"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FFFFF" w:themeFill="text1" w:themeFillTint="0"/>
      </w:tcPr>
    </w:tblStylePr>
    <w:tblStylePr w:type="band1Horz">
      <w:rPr>
        <w:sz w:val="22"/>
      </w:rPr>
    </w:tblStylePr>
    <w:tblStylePr w:type="band2Horz">
      <w:rPr>
        <w:sz w:val="22"/>
      </w:rPr>
      <w:tblPr/>
      <w:tcPr>
        <w:shd w:val="clear" w:color="F2F2F2" w:fill="FFFFFF" w:themeFill="text1" w:themeFillTint="0"/>
      </w:tcPr>
    </w:tblStylePr>
  </w:style>
  <w:style w:type="table" w:customStyle="1" w:styleId="Lined-Accent1">
    <w:name w:val="Lined - Accent 1"/>
    <w:uiPriority w:val="99"/>
    <w:rsid w:val="00B52DE3"/>
    <w:tblPr>
      <w:tblStyleRowBandSize w:val="1"/>
      <w:tblStyleColBandSize w:val="1"/>
      <w:tblCellMar>
        <w:top w:w="0" w:type="dxa"/>
        <w:left w:w="0" w:type="dxa"/>
        <w:bottom w:w="0" w:type="dxa"/>
        <w:right w:w="0" w:type="dxa"/>
      </w:tblCellMar>
    </w:tblPr>
    <w:tblStylePr w:type="firstRow">
      <w:rPr>
        <w:sz w:val="22"/>
      </w:rPr>
      <w:tblPr/>
      <w:tcPr>
        <w:shd w:val="clear" w:color="1BBE03" w:fill="1BBE03" w:themeFill="accent1" w:themeFillTint="EA"/>
      </w:tcPr>
    </w:tblStylePr>
    <w:tblStylePr w:type="lastRow">
      <w:rPr>
        <w:sz w:val="22"/>
      </w:rPr>
      <w:tblPr/>
      <w:tcPr>
        <w:shd w:val="clear" w:color="1BBE03" w:fill="1BBE03" w:themeFill="accent1" w:themeFillTint="EA"/>
      </w:tcPr>
    </w:tblStylePr>
    <w:tblStylePr w:type="firstCol">
      <w:rPr>
        <w:sz w:val="22"/>
      </w:rPr>
      <w:tblPr/>
      <w:tcPr>
        <w:shd w:val="clear" w:color="1BBE03" w:fill="1BBE03" w:themeFill="accent1" w:themeFillTint="EA"/>
      </w:tcPr>
    </w:tblStylePr>
    <w:tblStylePr w:type="lastCol">
      <w:rPr>
        <w:sz w:val="22"/>
      </w:rPr>
      <w:tblPr/>
      <w:tcPr>
        <w:shd w:val="clear" w:color="1BBE03" w:fill="1BBE03" w:themeFill="accent1" w:themeFillTint="EA"/>
      </w:tcPr>
    </w:tblStylePr>
    <w:tblStylePr w:type="band1Vert">
      <w:rPr>
        <w:sz w:val="22"/>
      </w:rPr>
    </w:tblStylePr>
    <w:tblStylePr w:type="band2Vert">
      <w:rPr>
        <w:sz w:val="22"/>
      </w:rPr>
      <w:tblPr/>
      <w:tcPr>
        <w:shd w:val="clear" w:color="A2FD94" w:fill="A2FD94" w:themeFill="accent1" w:themeFillTint="50"/>
      </w:tcPr>
    </w:tblStylePr>
    <w:tblStylePr w:type="band1Horz">
      <w:rPr>
        <w:sz w:val="22"/>
      </w:rPr>
    </w:tblStylePr>
    <w:tblStylePr w:type="band2Horz">
      <w:rPr>
        <w:sz w:val="22"/>
      </w:rPr>
      <w:tblPr/>
      <w:tcPr>
        <w:shd w:val="clear" w:color="A2FD94" w:fill="A2FD94" w:themeFill="accent1" w:themeFillTint="50"/>
      </w:tcPr>
    </w:tblStylePr>
  </w:style>
  <w:style w:type="table" w:customStyle="1" w:styleId="Lined-Accent2">
    <w:name w:val="Lined - Accent 2"/>
    <w:uiPriority w:val="99"/>
    <w:rsid w:val="00B52DE3"/>
    <w:tblPr>
      <w:tblStyleRowBandSize w:val="1"/>
      <w:tblStyleColBandSize w:val="1"/>
      <w:tblCellMar>
        <w:top w:w="0" w:type="dxa"/>
        <w:left w:w="0" w:type="dxa"/>
        <w:bottom w:w="0" w:type="dxa"/>
        <w:right w:w="0" w:type="dxa"/>
      </w:tblCellMar>
    </w:tblPr>
    <w:tblStylePr w:type="firstRow">
      <w:rPr>
        <w:sz w:val="22"/>
      </w:rPr>
      <w:tblPr/>
      <w:tcPr>
        <w:shd w:val="clear" w:color="36B3FB" w:fill="36B3FB" w:themeFill="accent2" w:themeFillTint="97"/>
      </w:tcPr>
    </w:tblStylePr>
    <w:tblStylePr w:type="lastRow">
      <w:rPr>
        <w:sz w:val="22"/>
      </w:rPr>
      <w:tblPr/>
      <w:tcPr>
        <w:shd w:val="clear" w:color="36B3FB" w:fill="36B3FB" w:themeFill="accent2" w:themeFillTint="97"/>
      </w:tcPr>
    </w:tblStylePr>
    <w:tblStylePr w:type="firstCol">
      <w:rPr>
        <w:sz w:val="22"/>
      </w:rPr>
      <w:tblPr/>
      <w:tcPr>
        <w:shd w:val="clear" w:color="36B3FB" w:fill="36B3FB" w:themeFill="accent2" w:themeFillTint="97"/>
      </w:tcPr>
    </w:tblStylePr>
    <w:tblStylePr w:type="lastCol">
      <w:rPr>
        <w:sz w:val="22"/>
      </w:rPr>
      <w:tblPr/>
      <w:tcPr>
        <w:shd w:val="clear" w:color="36B3FB" w:fill="36B3FB" w:themeFill="accent2" w:themeFillTint="97"/>
      </w:tcPr>
    </w:tblStylePr>
    <w:tblStylePr w:type="band1Vert">
      <w:rPr>
        <w:sz w:val="22"/>
      </w:rPr>
    </w:tblStylePr>
    <w:tblStylePr w:type="band2Vert">
      <w:rPr>
        <w:sz w:val="22"/>
      </w:rPr>
      <w:tblPr/>
      <w:tcPr>
        <w:shd w:val="clear" w:color="BCE6FD" w:fill="BCE6FD" w:themeFill="accent2" w:themeFillTint="32"/>
      </w:tcPr>
    </w:tblStylePr>
    <w:tblStylePr w:type="band1Horz">
      <w:rPr>
        <w:sz w:val="22"/>
      </w:rPr>
    </w:tblStylePr>
    <w:tblStylePr w:type="band2Horz">
      <w:rPr>
        <w:sz w:val="22"/>
      </w:rPr>
      <w:tblPr/>
      <w:tcPr>
        <w:shd w:val="clear" w:color="BCE6FD" w:fill="BCE6FD" w:themeFill="accent2" w:themeFillTint="32"/>
      </w:tcPr>
    </w:tblStylePr>
  </w:style>
  <w:style w:type="table" w:customStyle="1" w:styleId="Lined-Accent3">
    <w:name w:val="Lined - Accent 3"/>
    <w:uiPriority w:val="99"/>
    <w:rsid w:val="00B52DE3"/>
    <w:tblPr>
      <w:tblStyleRowBandSize w:val="1"/>
      <w:tblStyleColBandSize w:val="1"/>
      <w:tblCellMar>
        <w:top w:w="0" w:type="dxa"/>
        <w:left w:w="0" w:type="dxa"/>
        <w:bottom w:w="0" w:type="dxa"/>
        <w:right w:w="0" w:type="dxa"/>
      </w:tblCellMar>
    </w:tblPr>
    <w:tblStylePr w:type="firstRow">
      <w:rPr>
        <w:sz w:val="22"/>
      </w:rPr>
      <w:tblPr/>
      <w:tcPr>
        <w:shd w:val="clear" w:color="A43E03" w:fill="A43E03" w:themeFill="accent3" w:themeFillTint="FE"/>
      </w:tcPr>
    </w:tblStylePr>
    <w:tblStylePr w:type="lastRow">
      <w:rPr>
        <w:sz w:val="22"/>
      </w:rPr>
      <w:tblPr/>
      <w:tcPr>
        <w:shd w:val="clear" w:color="A43E03" w:fill="A43E03" w:themeFill="accent3" w:themeFillTint="FE"/>
      </w:tcPr>
    </w:tblStylePr>
    <w:tblStylePr w:type="firstCol">
      <w:rPr>
        <w:sz w:val="22"/>
      </w:rPr>
      <w:tblPr/>
      <w:tcPr>
        <w:shd w:val="clear" w:color="A43E03" w:fill="A43E03" w:themeFill="accent3" w:themeFillTint="FE"/>
      </w:tcPr>
    </w:tblStylePr>
    <w:tblStylePr w:type="lastCol">
      <w:rPr>
        <w:sz w:val="22"/>
      </w:rPr>
      <w:tblPr/>
      <w:tcPr>
        <w:shd w:val="clear" w:color="A43E03" w:fill="A43E03" w:themeFill="accent3" w:themeFillTint="FE"/>
      </w:tcPr>
    </w:tblStylePr>
    <w:tblStylePr w:type="band1Vert">
      <w:rPr>
        <w:sz w:val="22"/>
      </w:rPr>
    </w:tblStylePr>
    <w:tblStylePr w:type="band2Vert">
      <w:rPr>
        <w:sz w:val="22"/>
      </w:rPr>
      <w:tblPr/>
      <w:tcPr>
        <w:shd w:val="clear" w:color="FDD2B9" w:fill="FDD2B9" w:themeFill="accent3" w:themeFillTint="34"/>
      </w:tcPr>
    </w:tblStylePr>
    <w:tblStylePr w:type="band1Horz">
      <w:rPr>
        <w:sz w:val="22"/>
      </w:rPr>
    </w:tblStylePr>
    <w:tblStylePr w:type="band2Horz">
      <w:rPr>
        <w:sz w:val="22"/>
      </w:rPr>
      <w:tblPr/>
      <w:tcPr>
        <w:shd w:val="clear" w:color="FDD2B9" w:fill="FDD2B9" w:themeFill="accent3" w:themeFillTint="34"/>
      </w:tcPr>
    </w:tblStylePr>
  </w:style>
  <w:style w:type="table" w:customStyle="1" w:styleId="Lined-Accent4">
    <w:name w:val="Lined - Accent 4"/>
    <w:uiPriority w:val="99"/>
    <w:rsid w:val="00B52DE3"/>
    <w:tblPr>
      <w:tblStyleRowBandSize w:val="1"/>
      <w:tblStyleColBandSize w:val="1"/>
      <w:tblCellMar>
        <w:top w:w="0" w:type="dxa"/>
        <w:left w:w="0" w:type="dxa"/>
        <w:bottom w:w="0" w:type="dxa"/>
        <w:right w:w="0" w:type="dxa"/>
      </w:tblCellMar>
    </w:tblPr>
    <w:tblStylePr w:type="firstRow">
      <w:rPr>
        <w:sz w:val="22"/>
      </w:rPr>
      <w:tblPr/>
      <w:tcPr>
        <w:shd w:val="clear" w:color="E032FB" w:fill="E032FB" w:themeFill="accent4" w:themeFillTint="9A"/>
      </w:tcPr>
    </w:tblStylePr>
    <w:tblStylePr w:type="lastRow">
      <w:rPr>
        <w:sz w:val="22"/>
      </w:rPr>
      <w:tblPr/>
      <w:tcPr>
        <w:shd w:val="clear" w:color="E032FB" w:fill="E032FB" w:themeFill="accent4" w:themeFillTint="9A"/>
      </w:tcPr>
    </w:tblStylePr>
    <w:tblStylePr w:type="firstCol">
      <w:rPr>
        <w:sz w:val="22"/>
      </w:rPr>
      <w:tblPr/>
      <w:tcPr>
        <w:shd w:val="clear" w:color="E032FB" w:fill="E032FB" w:themeFill="accent4" w:themeFillTint="9A"/>
      </w:tcPr>
    </w:tblStylePr>
    <w:tblStylePr w:type="lastCol">
      <w:rPr>
        <w:sz w:val="22"/>
      </w:rPr>
      <w:tblPr/>
      <w:tcPr>
        <w:shd w:val="clear" w:color="E032FB" w:fill="E032FB" w:themeFill="accent4" w:themeFillTint="9A"/>
      </w:tcPr>
    </w:tblStylePr>
    <w:tblStylePr w:type="band1Vert">
      <w:rPr>
        <w:sz w:val="22"/>
      </w:rPr>
    </w:tblStylePr>
    <w:tblStylePr w:type="band2Vert">
      <w:rPr>
        <w:sz w:val="22"/>
      </w:rPr>
      <w:tblPr/>
      <w:tcPr>
        <w:shd w:val="clear" w:color="F4B9FD" w:fill="F4B9FD" w:themeFill="accent4" w:themeFillTint="34"/>
      </w:tcPr>
    </w:tblStylePr>
    <w:tblStylePr w:type="band1Horz">
      <w:rPr>
        <w:sz w:val="22"/>
      </w:rPr>
    </w:tblStylePr>
    <w:tblStylePr w:type="band2Horz">
      <w:rPr>
        <w:sz w:val="22"/>
      </w:rPr>
      <w:tblPr/>
      <w:tcPr>
        <w:shd w:val="clear" w:color="F4B9FD" w:fill="F4B9FD" w:themeFill="accent4" w:themeFillTint="34"/>
      </w:tcPr>
    </w:tblStylePr>
  </w:style>
  <w:style w:type="table" w:customStyle="1" w:styleId="Lined-Accent5">
    <w:name w:val="Lined - Accent 5"/>
    <w:uiPriority w:val="99"/>
    <w:rsid w:val="00B52DE3"/>
    <w:tblPr>
      <w:tblStyleRowBandSize w:val="1"/>
      <w:tblStyleColBandSize w:val="1"/>
      <w:tblCellMar>
        <w:top w:w="0" w:type="dxa"/>
        <w:left w:w="0" w:type="dxa"/>
        <w:bottom w:w="0" w:type="dxa"/>
        <w:right w:w="0" w:type="dxa"/>
      </w:tblCellMar>
    </w:tblPr>
    <w:tblStylePr w:type="firstRow">
      <w:rPr>
        <w:sz w:val="22"/>
      </w:rPr>
      <w:tblPr/>
      <w:tcPr>
        <w:shd w:val="clear" w:color="C99C00" w:fill="C99C00" w:themeFill="accent5"/>
      </w:tcPr>
    </w:tblStylePr>
    <w:tblStylePr w:type="lastRow">
      <w:rPr>
        <w:sz w:val="22"/>
      </w:rPr>
      <w:tblPr/>
      <w:tcPr>
        <w:shd w:val="clear" w:color="C99C00" w:fill="C99C00" w:themeFill="accent5"/>
      </w:tcPr>
    </w:tblStylePr>
    <w:tblStylePr w:type="firstCol">
      <w:rPr>
        <w:sz w:val="22"/>
      </w:rPr>
      <w:tblPr/>
      <w:tcPr>
        <w:shd w:val="clear" w:color="C99C00" w:fill="C99C00" w:themeFill="accent5"/>
      </w:tcPr>
    </w:tblStylePr>
    <w:tblStylePr w:type="lastCol">
      <w:rPr>
        <w:sz w:val="22"/>
      </w:rPr>
      <w:tblPr/>
      <w:tcPr>
        <w:shd w:val="clear" w:color="C99C00" w:fill="C99C00" w:themeFill="accent5"/>
      </w:tcPr>
    </w:tblStylePr>
    <w:tblStylePr w:type="band1Vert">
      <w:rPr>
        <w:sz w:val="22"/>
      </w:rPr>
    </w:tblStylePr>
    <w:tblStylePr w:type="band2Vert">
      <w:rPr>
        <w:sz w:val="22"/>
      </w:rPr>
      <w:tblPr/>
      <w:tcPr>
        <w:shd w:val="clear" w:color="FFF0BF" w:fill="FFF0BF" w:themeFill="accent5" w:themeFillTint="34"/>
      </w:tcPr>
    </w:tblStylePr>
    <w:tblStylePr w:type="band1Horz">
      <w:rPr>
        <w:sz w:val="22"/>
      </w:rPr>
    </w:tblStylePr>
    <w:tblStylePr w:type="band2Horz">
      <w:rPr>
        <w:sz w:val="22"/>
      </w:rPr>
      <w:tblPr/>
      <w:tcPr>
        <w:shd w:val="clear" w:color="FFF0BF" w:fill="FFF0BF" w:themeFill="accent5" w:themeFillTint="34"/>
      </w:tcPr>
    </w:tblStylePr>
  </w:style>
  <w:style w:type="table" w:customStyle="1" w:styleId="Lined-Accent6">
    <w:name w:val="Lined - Accent 6"/>
    <w:uiPriority w:val="99"/>
    <w:rsid w:val="00B52DE3"/>
    <w:tblPr>
      <w:tblStyleRowBandSize w:val="1"/>
      <w:tblStyleColBandSize w:val="1"/>
      <w:tblCellMar>
        <w:top w:w="0" w:type="dxa"/>
        <w:left w:w="0" w:type="dxa"/>
        <w:bottom w:w="0" w:type="dxa"/>
        <w:right w:w="0" w:type="dxa"/>
      </w:tblCellMar>
    </w:tblPr>
    <w:tblStylePr w:type="firstRow">
      <w:rPr>
        <w:sz w:val="22"/>
      </w:rPr>
      <w:tblPr/>
      <w:tcPr>
        <w:shd w:val="clear" w:color="C9211E" w:fill="C9211E" w:themeFill="accent6"/>
      </w:tcPr>
    </w:tblStylePr>
    <w:tblStylePr w:type="lastRow">
      <w:rPr>
        <w:sz w:val="22"/>
      </w:rPr>
      <w:tblPr/>
      <w:tcPr>
        <w:shd w:val="clear" w:color="C9211E" w:fill="C9211E" w:themeFill="accent6"/>
      </w:tcPr>
    </w:tblStylePr>
    <w:tblStylePr w:type="firstCol">
      <w:rPr>
        <w:sz w:val="22"/>
      </w:rPr>
      <w:tblPr/>
      <w:tcPr>
        <w:shd w:val="clear" w:color="C9211E" w:fill="C9211E" w:themeFill="accent6"/>
      </w:tcPr>
    </w:tblStylePr>
    <w:tblStylePr w:type="lastCol">
      <w:rPr>
        <w:sz w:val="22"/>
      </w:rPr>
      <w:tblPr/>
      <w:tcPr>
        <w:shd w:val="clear" w:color="C9211E" w:fill="C9211E" w:themeFill="accent6"/>
      </w:tcPr>
    </w:tblStylePr>
    <w:tblStylePr w:type="band1Vert">
      <w:rPr>
        <w:sz w:val="22"/>
      </w:rPr>
    </w:tblStylePr>
    <w:tblStylePr w:type="band2Vert">
      <w:rPr>
        <w:sz w:val="22"/>
      </w:rPr>
      <w:tblPr/>
      <w:tcPr>
        <w:shd w:val="clear" w:color="F7CDCD" w:fill="F7CDCD" w:themeFill="accent6" w:themeFillTint="34"/>
      </w:tcPr>
    </w:tblStylePr>
    <w:tblStylePr w:type="band1Horz">
      <w:rPr>
        <w:sz w:val="22"/>
      </w:rPr>
    </w:tblStylePr>
    <w:tblStylePr w:type="band2Horz">
      <w:rPr>
        <w:sz w:val="22"/>
      </w:rPr>
      <w:tblPr/>
      <w:tcPr>
        <w:shd w:val="clear" w:color="F7CDCD" w:fill="F7CDCD" w:themeFill="accent6" w:themeFillTint="34"/>
      </w:tcPr>
    </w:tblStylePr>
  </w:style>
  <w:style w:type="table" w:customStyle="1" w:styleId="BorderedLined-Accent">
    <w:name w:val="Bordered &amp; Lined - Accent"/>
    <w:uiPriority w:val="99"/>
    <w:rsid w:val="00B52DE3"/>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FFFFF" w:themeFill="text1" w:themeFillTint="0"/>
      </w:tcPr>
    </w:tblStylePr>
    <w:tblStylePr w:type="band1Horz">
      <w:rPr>
        <w:sz w:val="22"/>
      </w:rPr>
    </w:tblStylePr>
    <w:tblStylePr w:type="band2Horz">
      <w:rPr>
        <w:sz w:val="22"/>
      </w:rPr>
      <w:tblPr/>
      <w:tcPr>
        <w:shd w:val="clear" w:color="F2F2F2" w:fill="FFFFFF" w:themeFill="text1" w:themeFillTint="0"/>
      </w:tcPr>
    </w:tblStylePr>
  </w:style>
  <w:style w:type="table" w:customStyle="1" w:styleId="BorderedLined-Accent1">
    <w:name w:val="Bordered &amp; Lined - Accent 1"/>
    <w:uiPriority w:val="99"/>
    <w:rsid w:val="00B52DE3"/>
    <w:tblPr>
      <w:tblStyleRowBandSize w:val="1"/>
      <w:tblStyleColBandSize w:val="1"/>
      <w:tblBorders>
        <w:top w:val="single" w:sz="4" w:space="0" w:color="18A303" w:themeColor="accent1"/>
        <w:left w:val="single" w:sz="4" w:space="0" w:color="18A303" w:themeColor="accent1"/>
        <w:bottom w:val="single" w:sz="4" w:space="0" w:color="18A303" w:themeColor="accent1"/>
        <w:right w:val="single" w:sz="4" w:space="0" w:color="18A303" w:themeColor="accent1"/>
        <w:insideH w:val="single" w:sz="4" w:space="0" w:color="18A303" w:themeColor="accent1"/>
        <w:insideV w:val="single" w:sz="4" w:space="0" w:color="18A303" w:themeColor="accent1"/>
      </w:tblBorders>
      <w:tblCellMar>
        <w:top w:w="0" w:type="dxa"/>
        <w:left w:w="0" w:type="dxa"/>
        <w:bottom w:w="0" w:type="dxa"/>
        <w:right w:w="0" w:type="dxa"/>
      </w:tblCellMar>
    </w:tblPr>
    <w:tblStylePr w:type="firstRow">
      <w:rPr>
        <w:sz w:val="22"/>
      </w:rPr>
      <w:tblPr/>
      <w:tcPr>
        <w:shd w:val="clear" w:color="1BBE03" w:fill="1BBE03" w:themeFill="accent1" w:themeFillTint="EA"/>
      </w:tcPr>
    </w:tblStylePr>
    <w:tblStylePr w:type="lastRow">
      <w:rPr>
        <w:sz w:val="22"/>
      </w:rPr>
      <w:tblPr/>
      <w:tcPr>
        <w:shd w:val="clear" w:color="1BBE03" w:fill="1BBE03" w:themeFill="accent1" w:themeFillTint="EA"/>
      </w:tcPr>
    </w:tblStylePr>
    <w:tblStylePr w:type="firstCol">
      <w:rPr>
        <w:sz w:val="22"/>
      </w:rPr>
      <w:tblPr/>
      <w:tcPr>
        <w:shd w:val="clear" w:color="1BBE03" w:fill="1BBE03" w:themeFill="accent1" w:themeFillTint="EA"/>
      </w:tcPr>
    </w:tblStylePr>
    <w:tblStylePr w:type="lastCol">
      <w:rPr>
        <w:sz w:val="22"/>
      </w:rPr>
      <w:tblPr/>
      <w:tcPr>
        <w:shd w:val="clear" w:color="1BBE03" w:fill="1BBE03" w:themeFill="accent1" w:themeFillTint="EA"/>
      </w:tcPr>
    </w:tblStylePr>
    <w:tblStylePr w:type="band1Vert">
      <w:rPr>
        <w:sz w:val="22"/>
      </w:rPr>
    </w:tblStylePr>
    <w:tblStylePr w:type="band2Vert">
      <w:rPr>
        <w:sz w:val="22"/>
      </w:rPr>
      <w:tblPr/>
      <w:tcPr>
        <w:shd w:val="clear" w:color="A2FD94" w:fill="A2FD94" w:themeFill="accent1" w:themeFillTint="50"/>
      </w:tcPr>
    </w:tblStylePr>
    <w:tblStylePr w:type="band1Horz">
      <w:rPr>
        <w:sz w:val="22"/>
      </w:rPr>
    </w:tblStylePr>
    <w:tblStylePr w:type="band2Horz">
      <w:rPr>
        <w:sz w:val="22"/>
      </w:rPr>
      <w:tblPr/>
      <w:tcPr>
        <w:shd w:val="clear" w:color="A2FD94" w:fill="A2FD94" w:themeFill="accent1" w:themeFillTint="50"/>
      </w:tcPr>
    </w:tblStylePr>
  </w:style>
  <w:style w:type="table" w:customStyle="1" w:styleId="BorderedLined-Accent2">
    <w:name w:val="Bordered &amp; Lined - Accent 2"/>
    <w:uiPriority w:val="99"/>
    <w:rsid w:val="00B52DE3"/>
    <w:tblPr>
      <w:tblStyleRowBandSize w:val="1"/>
      <w:tblStyleColBandSize w:val="1"/>
      <w:tblBorders>
        <w:top w:val="single" w:sz="4" w:space="0" w:color="0369A3" w:themeColor="accent2"/>
        <w:left w:val="single" w:sz="4" w:space="0" w:color="0369A3" w:themeColor="accent2"/>
        <w:bottom w:val="single" w:sz="4" w:space="0" w:color="0369A3" w:themeColor="accent2"/>
        <w:right w:val="single" w:sz="4" w:space="0" w:color="0369A3" w:themeColor="accent2"/>
        <w:insideH w:val="single" w:sz="4" w:space="0" w:color="0369A3" w:themeColor="accent2"/>
        <w:insideV w:val="single" w:sz="4" w:space="0" w:color="0369A3" w:themeColor="accent2"/>
      </w:tblBorders>
      <w:tblCellMar>
        <w:top w:w="0" w:type="dxa"/>
        <w:left w:w="0" w:type="dxa"/>
        <w:bottom w:w="0" w:type="dxa"/>
        <w:right w:w="0" w:type="dxa"/>
      </w:tblCellMar>
    </w:tblPr>
    <w:tblStylePr w:type="firstRow">
      <w:rPr>
        <w:sz w:val="22"/>
      </w:rPr>
      <w:tblPr/>
      <w:tcPr>
        <w:shd w:val="clear" w:color="36B3FB" w:fill="36B3FB" w:themeFill="accent2" w:themeFillTint="97"/>
      </w:tcPr>
    </w:tblStylePr>
    <w:tblStylePr w:type="lastRow">
      <w:rPr>
        <w:sz w:val="22"/>
      </w:rPr>
      <w:tblPr/>
      <w:tcPr>
        <w:shd w:val="clear" w:color="36B3FB" w:fill="36B3FB" w:themeFill="accent2" w:themeFillTint="97"/>
      </w:tcPr>
    </w:tblStylePr>
    <w:tblStylePr w:type="firstCol">
      <w:rPr>
        <w:sz w:val="22"/>
      </w:rPr>
      <w:tblPr/>
      <w:tcPr>
        <w:shd w:val="clear" w:color="36B3FB" w:fill="36B3FB" w:themeFill="accent2" w:themeFillTint="97"/>
      </w:tcPr>
    </w:tblStylePr>
    <w:tblStylePr w:type="lastCol">
      <w:rPr>
        <w:sz w:val="22"/>
      </w:rPr>
      <w:tblPr/>
      <w:tcPr>
        <w:shd w:val="clear" w:color="36B3FB" w:fill="36B3FB" w:themeFill="accent2" w:themeFillTint="97"/>
      </w:tcPr>
    </w:tblStylePr>
    <w:tblStylePr w:type="band1Vert">
      <w:rPr>
        <w:sz w:val="22"/>
      </w:rPr>
    </w:tblStylePr>
    <w:tblStylePr w:type="band2Vert">
      <w:rPr>
        <w:sz w:val="22"/>
      </w:rPr>
      <w:tblPr/>
      <w:tcPr>
        <w:shd w:val="clear" w:color="BCE6FD" w:fill="BCE6FD" w:themeFill="accent2" w:themeFillTint="32"/>
      </w:tcPr>
    </w:tblStylePr>
    <w:tblStylePr w:type="band1Horz">
      <w:rPr>
        <w:sz w:val="22"/>
      </w:rPr>
    </w:tblStylePr>
    <w:tblStylePr w:type="band2Horz">
      <w:rPr>
        <w:sz w:val="22"/>
      </w:rPr>
      <w:tblPr/>
      <w:tcPr>
        <w:shd w:val="clear" w:color="BCE6FD" w:fill="BCE6FD" w:themeFill="accent2" w:themeFillTint="32"/>
      </w:tcPr>
    </w:tblStylePr>
  </w:style>
  <w:style w:type="table" w:customStyle="1" w:styleId="BorderedLined-Accent3">
    <w:name w:val="Bordered &amp; Lined - Accent 3"/>
    <w:uiPriority w:val="99"/>
    <w:rsid w:val="00B52DE3"/>
    <w:tblPr>
      <w:tblStyleRowBandSize w:val="1"/>
      <w:tblStyleColBandSize w:val="1"/>
      <w:tblBorders>
        <w:top w:val="single" w:sz="4" w:space="0" w:color="A33E03" w:themeColor="accent3"/>
        <w:left w:val="single" w:sz="4" w:space="0" w:color="A33E03" w:themeColor="accent3"/>
        <w:bottom w:val="single" w:sz="4" w:space="0" w:color="A33E03" w:themeColor="accent3"/>
        <w:right w:val="single" w:sz="4" w:space="0" w:color="A33E03" w:themeColor="accent3"/>
        <w:insideH w:val="single" w:sz="4" w:space="0" w:color="A33E03" w:themeColor="accent3"/>
        <w:insideV w:val="single" w:sz="4" w:space="0" w:color="A33E03" w:themeColor="accent3"/>
      </w:tblBorders>
      <w:tblCellMar>
        <w:top w:w="0" w:type="dxa"/>
        <w:left w:w="0" w:type="dxa"/>
        <w:bottom w:w="0" w:type="dxa"/>
        <w:right w:w="0" w:type="dxa"/>
      </w:tblCellMar>
    </w:tblPr>
    <w:tblStylePr w:type="firstRow">
      <w:rPr>
        <w:sz w:val="22"/>
      </w:rPr>
      <w:tblPr/>
      <w:tcPr>
        <w:shd w:val="clear" w:color="A43E03" w:fill="A43E03" w:themeFill="accent3" w:themeFillTint="FE"/>
      </w:tcPr>
    </w:tblStylePr>
    <w:tblStylePr w:type="lastRow">
      <w:rPr>
        <w:sz w:val="22"/>
      </w:rPr>
      <w:tblPr/>
      <w:tcPr>
        <w:shd w:val="clear" w:color="A43E03" w:fill="A43E03" w:themeFill="accent3" w:themeFillTint="FE"/>
      </w:tcPr>
    </w:tblStylePr>
    <w:tblStylePr w:type="firstCol">
      <w:rPr>
        <w:sz w:val="22"/>
      </w:rPr>
      <w:tblPr/>
      <w:tcPr>
        <w:shd w:val="clear" w:color="A43E03" w:fill="A43E03" w:themeFill="accent3" w:themeFillTint="FE"/>
      </w:tcPr>
    </w:tblStylePr>
    <w:tblStylePr w:type="lastCol">
      <w:rPr>
        <w:sz w:val="22"/>
      </w:rPr>
      <w:tblPr/>
      <w:tcPr>
        <w:shd w:val="clear" w:color="A43E03" w:fill="A43E03" w:themeFill="accent3" w:themeFillTint="FE"/>
      </w:tcPr>
    </w:tblStylePr>
    <w:tblStylePr w:type="band1Vert">
      <w:rPr>
        <w:sz w:val="22"/>
      </w:rPr>
    </w:tblStylePr>
    <w:tblStylePr w:type="band2Vert">
      <w:rPr>
        <w:sz w:val="22"/>
      </w:rPr>
      <w:tblPr/>
      <w:tcPr>
        <w:shd w:val="clear" w:color="FDD2B9" w:fill="FDD2B9" w:themeFill="accent3" w:themeFillTint="34"/>
      </w:tcPr>
    </w:tblStylePr>
    <w:tblStylePr w:type="band1Horz">
      <w:rPr>
        <w:sz w:val="22"/>
      </w:rPr>
    </w:tblStylePr>
    <w:tblStylePr w:type="band2Horz">
      <w:rPr>
        <w:sz w:val="22"/>
      </w:rPr>
      <w:tblPr/>
      <w:tcPr>
        <w:shd w:val="clear" w:color="FDD2B9" w:fill="FDD2B9" w:themeFill="accent3" w:themeFillTint="34"/>
      </w:tcPr>
    </w:tblStylePr>
  </w:style>
  <w:style w:type="table" w:customStyle="1" w:styleId="BorderedLined-Accent4">
    <w:name w:val="Bordered &amp; Lined - Accent 4"/>
    <w:uiPriority w:val="99"/>
    <w:rsid w:val="00B52DE3"/>
    <w:tblPr>
      <w:tblStyleRowBandSize w:val="1"/>
      <w:tblStyleColBandSize w:val="1"/>
      <w:tblBorders>
        <w:top w:val="single" w:sz="4" w:space="0" w:color="8E03A3" w:themeColor="accent4"/>
        <w:left w:val="single" w:sz="4" w:space="0" w:color="8E03A3" w:themeColor="accent4"/>
        <w:bottom w:val="single" w:sz="4" w:space="0" w:color="8E03A3" w:themeColor="accent4"/>
        <w:right w:val="single" w:sz="4" w:space="0" w:color="8E03A3" w:themeColor="accent4"/>
        <w:insideH w:val="single" w:sz="4" w:space="0" w:color="8E03A3" w:themeColor="accent4"/>
        <w:insideV w:val="single" w:sz="4" w:space="0" w:color="8E03A3" w:themeColor="accent4"/>
      </w:tblBorders>
      <w:tblCellMar>
        <w:top w:w="0" w:type="dxa"/>
        <w:left w:w="0" w:type="dxa"/>
        <w:bottom w:w="0" w:type="dxa"/>
        <w:right w:w="0" w:type="dxa"/>
      </w:tblCellMar>
    </w:tblPr>
    <w:tblStylePr w:type="firstRow">
      <w:rPr>
        <w:sz w:val="22"/>
      </w:rPr>
      <w:tblPr/>
      <w:tcPr>
        <w:shd w:val="clear" w:color="E032FB" w:fill="E032FB" w:themeFill="accent4" w:themeFillTint="9A"/>
      </w:tcPr>
    </w:tblStylePr>
    <w:tblStylePr w:type="lastRow">
      <w:rPr>
        <w:sz w:val="22"/>
      </w:rPr>
      <w:tblPr/>
      <w:tcPr>
        <w:shd w:val="clear" w:color="E032FB" w:fill="E032FB" w:themeFill="accent4" w:themeFillTint="9A"/>
      </w:tcPr>
    </w:tblStylePr>
    <w:tblStylePr w:type="firstCol">
      <w:rPr>
        <w:sz w:val="22"/>
      </w:rPr>
      <w:tblPr/>
      <w:tcPr>
        <w:shd w:val="clear" w:color="E032FB" w:fill="E032FB" w:themeFill="accent4" w:themeFillTint="9A"/>
      </w:tcPr>
    </w:tblStylePr>
    <w:tblStylePr w:type="lastCol">
      <w:rPr>
        <w:sz w:val="22"/>
      </w:rPr>
      <w:tblPr/>
      <w:tcPr>
        <w:shd w:val="clear" w:color="E032FB" w:fill="E032FB" w:themeFill="accent4" w:themeFillTint="9A"/>
      </w:tcPr>
    </w:tblStylePr>
    <w:tblStylePr w:type="band1Vert">
      <w:rPr>
        <w:sz w:val="22"/>
      </w:rPr>
    </w:tblStylePr>
    <w:tblStylePr w:type="band2Vert">
      <w:rPr>
        <w:sz w:val="22"/>
      </w:rPr>
      <w:tblPr/>
      <w:tcPr>
        <w:shd w:val="clear" w:color="F4B9FD" w:fill="F4B9FD" w:themeFill="accent4" w:themeFillTint="34"/>
      </w:tcPr>
    </w:tblStylePr>
    <w:tblStylePr w:type="band1Horz">
      <w:rPr>
        <w:sz w:val="22"/>
      </w:rPr>
    </w:tblStylePr>
    <w:tblStylePr w:type="band2Horz">
      <w:rPr>
        <w:sz w:val="22"/>
      </w:rPr>
      <w:tblPr/>
      <w:tcPr>
        <w:shd w:val="clear" w:color="F4B9FD" w:fill="F4B9FD" w:themeFill="accent4" w:themeFillTint="34"/>
      </w:tcPr>
    </w:tblStylePr>
  </w:style>
  <w:style w:type="table" w:customStyle="1" w:styleId="BorderedLined-Accent5">
    <w:name w:val="Bordered &amp; Lined - Accent 5"/>
    <w:uiPriority w:val="99"/>
    <w:rsid w:val="00B52DE3"/>
    <w:tblPr>
      <w:tblStyleRowBandSize w:val="1"/>
      <w:tblStyleColBandSize w:val="1"/>
      <w:tblBorders>
        <w:top w:val="single" w:sz="4" w:space="0" w:color="C99C00" w:themeColor="accent5"/>
        <w:left w:val="single" w:sz="4" w:space="0" w:color="C99C00" w:themeColor="accent5"/>
        <w:bottom w:val="single" w:sz="4" w:space="0" w:color="C99C00" w:themeColor="accent5"/>
        <w:right w:val="single" w:sz="4" w:space="0" w:color="C99C00" w:themeColor="accent5"/>
        <w:insideH w:val="single" w:sz="4" w:space="0" w:color="C99C00" w:themeColor="accent5"/>
        <w:insideV w:val="single" w:sz="4" w:space="0" w:color="C99C00" w:themeColor="accent5"/>
      </w:tblBorders>
      <w:tblCellMar>
        <w:top w:w="0" w:type="dxa"/>
        <w:left w:w="0" w:type="dxa"/>
        <w:bottom w:w="0" w:type="dxa"/>
        <w:right w:w="0" w:type="dxa"/>
      </w:tblCellMar>
    </w:tblPr>
    <w:tblStylePr w:type="firstRow">
      <w:rPr>
        <w:sz w:val="22"/>
      </w:rPr>
      <w:tblPr/>
      <w:tcPr>
        <w:shd w:val="clear" w:color="C99C00" w:fill="C99C00" w:themeFill="accent5"/>
      </w:tcPr>
    </w:tblStylePr>
    <w:tblStylePr w:type="lastRow">
      <w:rPr>
        <w:sz w:val="22"/>
      </w:rPr>
      <w:tblPr/>
      <w:tcPr>
        <w:shd w:val="clear" w:color="C99C00" w:fill="C99C00" w:themeFill="accent5"/>
      </w:tcPr>
    </w:tblStylePr>
    <w:tblStylePr w:type="firstCol">
      <w:rPr>
        <w:sz w:val="22"/>
      </w:rPr>
      <w:tblPr/>
      <w:tcPr>
        <w:shd w:val="clear" w:color="C99C00" w:fill="C99C00" w:themeFill="accent5"/>
      </w:tcPr>
    </w:tblStylePr>
    <w:tblStylePr w:type="lastCol">
      <w:rPr>
        <w:sz w:val="22"/>
      </w:rPr>
      <w:tblPr/>
      <w:tcPr>
        <w:shd w:val="clear" w:color="C99C00" w:fill="C99C00" w:themeFill="accent5"/>
      </w:tcPr>
    </w:tblStylePr>
    <w:tblStylePr w:type="band1Vert">
      <w:rPr>
        <w:sz w:val="22"/>
      </w:rPr>
    </w:tblStylePr>
    <w:tblStylePr w:type="band2Vert">
      <w:rPr>
        <w:sz w:val="22"/>
      </w:rPr>
      <w:tblPr/>
      <w:tcPr>
        <w:shd w:val="clear" w:color="FFF0BF" w:fill="FFF0BF" w:themeFill="accent5" w:themeFillTint="34"/>
      </w:tcPr>
    </w:tblStylePr>
    <w:tblStylePr w:type="band1Horz">
      <w:rPr>
        <w:sz w:val="22"/>
      </w:rPr>
    </w:tblStylePr>
    <w:tblStylePr w:type="band2Horz">
      <w:rPr>
        <w:sz w:val="22"/>
      </w:rPr>
      <w:tblPr/>
      <w:tcPr>
        <w:shd w:val="clear" w:color="FFF0BF" w:fill="FFF0BF" w:themeFill="accent5" w:themeFillTint="34"/>
      </w:tcPr>
    </w:tblStylePr>
  </w:style>
  <w:style w:type="table" w:customStyle="1" w:styleId="BorderedLined-Accent6">
    <w:name w:val="Bordered &amp; Lined - Accent 6"/>
    <w:uiPriority w:val="99"/>
    <w:rsid w:val="00B52DE3"/>
    <w:tblPr>
      <w:tblStyleRowBandSize w:val="1"/>
      <w:tblStyleColBandSize w:val="1"/>
      <w:tblBorders>
        <w:top w:val="single" w:sz="4" w:space="0" w:color="C9211E" w:themeColor="accent6"/>
        <w:left w:val="single" w:sz="4" w:space="0" w:color="C9211E" w:themeColor="accent6"/>
        <w:bottom w:val="single" w:sz="4" w:space="0" w:color="C9211E" w:themeColor="accent6"/>
        <w:right w:val="single" w:sz="4" w:space="0" w:color="C9211E" w:themeColor="accent6"/>
        <w:insideH w:val="single" w:sz="4" w:space="0" w:color="C9211E" w:themeColor="accent6"/>
        <w:insideV w:val="single" w:sz="4" w:space="0" w:color="C9211E" w:themeColor="accent6"/>
      </w:tblBorders>
      <w:tblCellMar>
        <w:top w:w="0" w:type="dxa"/>
        <w:left w:w="0" w:type="dxa"/>
        <w:bottom w:w="0" w:type="dxa"/>
        <w:right w:w="0" w:type="dxa"/>
      </w:tblCellMar>
    </w:tblPr>
    <w:tblStylePr w:type="firstRow">
      <w:rPr>
        <w:sz w:val="22"/>
      </w:rPr>
      <w:tblPr/>
      <w:tcPr>
        <w:shd w:val="clear" w:color="C9211E" w:fill="C9211E" w:themeFill="accent6"/>
      </w:tcPr>
    </w:tblStylePr>
    <w:tblStylePr w:type="lastRow">
      <w:rPr>
        <w:sz w:val="22"/>
      </w:rPr>
      <w:tblPr/>
      <w:tcPr>
        <w:shd w:val="clear" w:color="C9211E" w:fill="C9211E" w:themeFill="accent6"/>
      </w:tcPr>
    </w:tblStylePr>
    <w:tblStylePr w:type="firstCol">
      <w:rPr>
        <w:sz w:val="22"/>
      </w:rPr>
      <w:tblPr/>
      <w:tcPr>
        <w:shd w:val="clear" w:color="C9211E" w:fill="C9211E" w:themeFill="accent6"/>
      </w:tcPr>
    </w:tblStylePr>
    <w:tblStylePr w:type="lastCol">
      <w:rPr>
        <w:sz w:val="22"/>
      </w:rPr>
      <w:tblPr/>
      <w:tcPr>
        <w:shd w:val="clear" w:color="C9211E" w:fill="C9211E" w:themeFill="accent6"/>
      </w:tcPr>
    </w:tblStylePr>
    <w:tblStylePr w:type="band1Vert">
      <w:rPr>
        <w:sz w:val="22"/>
      </w:rPr>
    </w:tblStylePr>
    <w:tblStylePr w:type="band2Vert">
      <w:rPr>
        <w:sz w:val="22"/>
      </w:rPr>
      <w:tblPr/>
      <w:tcPr>
        <w:shd w:val="clear" w:color="F7CDCD" w:fill="F7CDCD" w:themeFill="accent6" w:themeFillTint="34"/>
      </w:tcPr>
    </w:tblStylePr>
    <w:tblStylePr w:type="band1Horz">
      <w:rPr>
        <w:sz w:val="22"/>
      </w:rPr>
    </w:tblStylePr>
    <w:tblStylePr w:type="band2Horz">
      <w:rPr>
        <w:sz w:val="22"/>
      </w:rPr>
      <w:tblPr/>
      <w:tcPr>
        <w:shd w:val="clear" w:color="F7CDCD" w:fill="F7CDCD" w:themeFill="accent6" w:themeFillTint="34"/>
      </w:tcPr>
    </w:tblStylePr>
  </w:style>
  <w:style w:type="table" w:customStyle="1" w:styleId="Bordered">
    <w:name w:val="Bordered"/>
    <w:uiPriority w:val="99"/>
    <w:rsid w:val="00B52DE3"/>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rsid w:val="00B52DE3"/>
    <w:tblPr>
      <w:tblStyleRowBandSize w:val="1"/>
      <w:tblStyleColBandSize w:val="1"/>
      <w:tbl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insideH w:val="single" w:sz="4" w:space="0" w:color="87FC76" w:themeColor="accent1" w:themeTint="67"/>
        <w:insideV w:val="single" w:sz="4" w:space="0" w:color="87FC76" w:themeColor="accent1" w:themeTint="67"/>
      </w:tblBorders>
      <w:tblCellMar>
        <w:top w:w="0" w:type="dxa"/>
        <w:left w:w="0" w:type="dxa"/>
        <w:bottom w:w="0" w:type="dxa"/>
        <w:right w:w="0" w:type="dxa"/>
      </w:tblCellMar>
    </w:tblPr>
    <w:tblStylePr w:type="firstRow">
      <w:rPr>
        <w:sz w:val="22"/>
      </w:rPr>
      <w:tblPr/>
      <w:tcPr>
        <w:tcBorders>
          <w:bottom w:val="single" w:sz="12" w:space="0" w:color="18A303" w:themeColor="accent1"/>
        </w:tcBorders>
      </w:tcPr>
    </w:tblStylePr>
    <w:tblStylePr w:type="lastRow">
      <w:rPr>
        <w:sz w:val="22"/>
      </w:rPr>
      <w:tblPr/>
      <w:tcPr>
        <w:tcBorders>
          <w:top w:val="single" w:sz="12" w:space="0" w:color="18A303" w:themeColor="accent1"/>
        </w:tcBorders>
      </w:tcPr>
    </w:tblStylePr>
    <w:tblStylePr w:type="firstCol">
      <w:rPr>
        <w:sz w:val="22"/>
      </w:rPr>
    </w:tblStylePr>
    <w:tblStylePr w:type="lastCol">
      <w:rPr>
        <w:sz w:val="22"/>
      </w:rPr>
      <w:tblPr/>
      <w:tcPr>
        <w:tcBorders>
          <w:left w:val="single" w:sz="12" w:space="0" w:color="18A303" w:themeColor="accent1"/>
        </w:tcBorders>
      </w:tcPr>
    </w:tblStylePr>
    <w:tblStylePr w:type="band1Horz">
      <w:rPr>
        <w:sz w:val="22"/>
      </w:rPr>
      <w:tblPr/>
      <w:tcPr>
        <w:tcBorders>
          <w:top w:val="single" w:sz="4" w:space="0" w:color="18A303" w:themeColor="accent1"/>
          <w:left w:val="single" w:sz="4" w:space="0" w:color="18A303" w:themeColor="accent1"/>
          <w:bottom w:val="single" w:sz="4" w:space="0" w:color="18A303" w:themeColor="accent1"/>
          <w:right w:val="single" w:sz="4" w:space="0" w:color="18A303" w:themeColor="accent1"/>
        </w:tcBorders>
      </w:tcPr>
    </w:tblStylePr>
  </w:style>
  <w:style w:type="table" w:customStyle="1" w:styleId="Bordered-Accent2">
    <w:name w:val="Bordered - Accent 2"/>
    <w:uiPriority w:val="99"/>
    <w:rsid w:val="00B52DE3"/>
    <w:tblPr>
      <w:tblStyleRowBandSize w:val="1"/>
      <w:tblStyleColBandSize w:val="1"/>
      <w:tbl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insideH w:val="single" w:sz="4" w:space="0" w:color="76CBFC" w:themeColor="accent2" w:themeTint="67"/>
        <w:insideV w:val="single" w:sz="4" w:space="0" w:color="76CBFC" w:themeColor="accent2" w:themeTint="67"/>
      </w:tblBorders>
      <w:tblCellMar>
        <w:top w:w="0" w:type="dxa"/>
        <w:left w:w="0" w:type="dxa"/>
        <w:bottom w:w="0" w:type="dxa"/>
        <w:right w:w="0" w:type="dxa"/>
      </w:tblCellMar>
    </w:tblPr>
    <w:tblStylePr w:type="firstRow">
      <w:rPr>
        <w:sz w:val="22"/>
      </w:rPr>
      <w:tblPr/>
      <w:tcPr>
        <w:tcBorders>
          <w:bottom w:val="single" w:sz="12" w:space="0" w:color="0369A3" w:themeColor="accent2"/>
        </w:tcBorders>
      </w:tcPr>
    </w:tblStylePr>
    <w:tblStylePr w:type="lastRow">
      <w:rPr>
        <w:sz w:val="22"/>
      </w:rPr>
      <w:tblPr/>
      <w:tcPr>
        <w:tcBorders>
          <w:top w:val="single" w:sz="12" w:space="0" w:color="0369A3" w:themeColor="accent2"/>
        </w:tcBorders>
      </w:tcPr>
    </w:tblStylePr>
    <w:tblStylePr w:type="firstCol">
      <w:rPr>
        <w:sz w:val="22"/>
      </w:rPr>
    </w:tblStylePr>
    <w:tblStylePr w:type="lastCol">
      <w:rPr>
        <w:sz w:val="22"/>
      </w:rPr>
      <w:tblPr/>
      <w:tcPr>
        <w:tcBorders>
          <w:left w:val="single" w:sz="12" w:space="0" w:color="0369A3" w:themeColor="accent2"/>
        </w:tcBorders>
      </w:tcPr>
    </w:tblStylePr>
    <w:tblStylePr w:type="band1Horz">
      <w:rPr>
        <w:sz w:val="22"/>
      </w:rPr>
      <w:tblPr/>
      <w:tcPr>
        <w:tcBorders>
          <w:top w:val="single" w:sz="4" w:space="0" w:color="0369A3" w:themeColor="accent2"/>
          <w:left w:val="single" w:sz="4" w:space="0" w:color="0369A3" w:themeColor="accent2"/>
          <w:bottom w:val="single" w:sz="4" w:space="0" w:color="0369A3" w:themeColor="accent2"/>
          <w:right w:val="single" w:sz="4" w:space="0" w:color="0369A3" w:themeColor="accent2"/>
        </w:tcBorders>
      </w:tcPr>
    </w:tblStylePr>
  </w:style>
  <w:style w:type="table" w:customStyle="1" w:styleId="Bordered-Accent3">
    <w:name w:val="Bordered - Accent 3"/>
    <w:uiPriority w:val="99"/>
    <w:rsid w:val="00B52DE3"/>
    <w:tblPr>
      <w:tblStyleRowBandSize w:val="1"/>
      <w:tblStyleColBandSize w:val="1"/>
      <w:tbl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insideH w:val="single" w:sz="4" w:space="0" w:color="FCA776" w:themeColor="accent3" w:themeTint="67"/>
        <w:insideV w:val="single" w:sz="4" w:space="0" w:color="FCA776" w:themeColor="accent3" w:themeTint="67"/>
      </w:tblBorders>
      <w:tblCellMar>
        <w:top w:w="0" w:type="dxa"/>
        <w:left w:w="0" w:type="dxa"/>
        <w:bottom w:w="0" w:type="dxa"/>
        <w:right w:w="0" w:type="dxa"/>
      </w:tblCellMar>
    </w:tblPr>
    <w:tblStylePr w:type="firstRow">
      <w:rPr>
        <w:sz w:val="22"/>
      </w:rPr>
      <w:tblPr/>
      <w:tcPr>
        <w:tcBorders>
          <w:bottom w:val="single" w:sz="12" w:space="0" w:color="A33E03" w:themeColor="accent3"/>
        </w:tcBorders>
      </w:tcPr>
    </w:tblStylePr>
    <w:tblStylePr w:type="lastRow">
      <w:rPr>
        <w:sz w:val="22"/>
      </w:rPr>
      <w:tblPr/>
      <w:tcPr>
        <w:tcBorders>
          <w:top w:val="single" w:sz="12" w:space="0" w:color="A33E03" w:themeColor="accent3"/>
        </w:tcBorders>
      </w:tcPr>
    </w:tblStylePr>
    <w:tblStylePr w:type="firstCol">
      <w:rPr>
        <w:sz w:val="22"/>
      </w:rPr>
    </w:tblStylePr>
    <w:tblStylePr w:type="lastCol">
      <w:rPr>
        <w:sz w:val="22"/>
      </w:rPr>
      <w:tblPr/>
      <w:tcPr>
        <w:tcBorders>
          <w:left w:val="single" w:sz="12" w:space="0" w:color="A33E03" w:themeColor="accent3"/>
        </w:tcBorders>
      </w:tcPr>
    </w:tblStylePr>
    <w:tblStylePr w:type="band1Horz">
      <w:rPr>
        <w:sz w:val="22"/>
      </w:rPr>
      <w:tblPr/>
      <w:tcPr>
        <w:tcBorders>
          <w:top w:val="single" w:sz="4" w:space="0" w:color="A33E03" w:themeColor="accent3"/>
          <w:left w:val="single" w:sz="4" w:space="0" w:color="A33E03" w:themeColor="accent3"/>
          <w:bottom w:val="single" w:sz="4" w:space="0" w:color="A33E03" w:themeColor="accent3"/>
          <w:right w:val="single" w:sz="4" w:space="0" w:color="A33E03" w:themeColor="accent3"/>
        </w:tcBorders>
      </w:tcPr>
    </w:tblStylePr>
  </w:style>
  <w:style w:type="table" w:customStyle="1" w:styleId="Bordered-Accent4">
    <w:name w:val="Bordered - Accent 4"/>
    <w:uiPriority w:val="99"/>
    <w:rsid w:val="00B52DE3"/>
    <w:tblPr>
      <w:tblStyleRowBandSize w:val="1"/>
      <w:tblStyleColBandSize w:val="1"/>
      <w:tbl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insideH w:val="single" w:sz="4" w:space="0" w:color="EA76FC" w:themeColor="accent4" w:themeTint="67"/>
        <w:insideV w:val="single" w:sz="4" w:space="0" w:color="EA76FC" w:themeColor="accent4" w:themeTint="67"/>
      </w:tblBorders>
      <w:tblCellMar>
        <w:top w:w="0" w:type="dxa"/>
        <w:left w:w="0" w:type="dxa"/>
        <w:bottom w:w="0" w:type="dxa"/>
        <w:right w:w="0" w:type="dxa"/>
      </w:tblCellMar>
    </w:tblPr>
    <w:tblStylePr w:type="firstRow">
      <w:rPr>
        <w:sz w:val="22"/>
      </w:rPr>
      <w:tblPr/>
      <w:tcPr>
        <w:tcBorders>
          <w:bottom w:val="single" w:sz="12" w:space="0" w:color="8E03A3" w:themeColor="accent4"/>
        </w:tcBorders>
      </w:tcPr>
    </w:tblStylePr>
    <w:tblStylePr w:type="lastRow">
      <w:rPr>
        <w:sz w:val="22"/>
      </w:rPr>
      <w:tblPr/>
      <w:tcPr>
        <w:tcBorders>
          <w:top w:val="single" w:sz="12" w:space="0" w:color="8E03A3" w:themeColor="accent4"/>
        </w:tcBorders>
      </w:tcPr>
    </w:tblStylePr>
    <w:tblStylePr w:type="firstCol">
      <w:rPr>
        <w:sz w:val="22"/>
      </w:rPr>
    </w:tblStylePr>
    <w:tblStylePr w:type="lastCol">
      <w:rPr>
        <w:sz w:val="22"/>
      </w:rPr>
      <w:tblPr/>
      <w:tcPr>
        <w:tcBorders>
          <w:left w:val="single" w:sz="12" w:space="0" w:color="8E03A3" w:themeColor="accent4"/>
        </w:tcBorders>
      </w:tcPr>
    </w:tblStylePr>
    <w:tblStylePr w:type="band1Horz">
      <w:rPr>
        <w:sz w:val="22"/>
      </w:rPr>
      <w:tblPr/>
      <w:tcPr>
        <w:tcBorders>
          <w:top w:val="single" w:sz="4" w:space="0" w:color="8E03A3" w:themeColor="accent4"/>
          <w:left w:val="single" w:sz="4" w:space="0" w:color="8E03A3" w:themeColor="accent4"/>
          <w:bottom w:val="single" w:sz="4" w:space="0" w:color="8E03A3" w:themeColor="accent4"/>
          <w:right w:val="single" w:sz="4" w:space="0" w:color="8E03A3" w:themeColor="accent4"/>
        </w:tcBorders>
      </w:tcPr>
    </w:tblStylePr>
  </w:style>
  <w:style w:type="table" w:customStyle="1" w:styleId="Bordered-Accent5">
    <w:name w:val="Bordered - Accent 5"/>
    <w:uiPriority w:val="99"/>
    <w:rsid w:val="00B52DE3"/>
    <w:tblPr>
      <w:tblStyleRowBandSize w:val="1"/>
      <w:tblStyleColBandSize w:val="1"/>
      <w:tbl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insideH w:val="single" w:sz="4" w:space="0" w:color="FFE282" w:themeColor="accent5" w:themeTint="67"/>
        <w:insideV w:val="single" w:sz="4" w:space="0" w:color="FFE282" w:themeColor="accent5" w:themeTint="67"/>
      </w:tblBorders>
      <w:tblCellMar>
        <w:top w:w="0" w:type="dxa"/>
        <w:left w:w="0" w:type="dxa"/>
        <w:bottom w:w="0" w:type="dxa"/>
        <w:right w:w="0" w:type="dxa"/>
      </w:tblCellMar>
    </w:tblPr>
    <w:tblStylePr w:type="firstRow">
      <w:rPr>
        <w:sz w:val="22"/>
      </w:rPr>
      <w:tblPr/>
      <w:tcPr>
        <w:tcBorders>
          <w:bottom w:val="single" w:sz="12" w:space="0" w:color="C99C00" w:themeColor="accent5"/>
        </w:tcBorders>
      </w:tcPr>
    </w:tblStylePr>
    <w:tblStylePr w:type="lastRow">
      <w:rPr>
        <w:sz w:val="22"/>
      </w:rPr>
      <w:tblPr/>
      <w:tcPr>
        <w:tcBorders>
          <w:top w:val="single" w:sz="12" w:space="0" w:color="C99C00" w:themeColor="accent5"/>
        </w:tcBorders>
      </w:tcPr>
    </w:tblStylePr>
    <w:tblStylePr w:type="firstCol">
      <w:rPr>
        <w:sz w:val="22"/>
      </w:rPr>
    </w:tblStylePr>
    <w:tblStylePr w:type="lastCol">
      <w:rPr>
        <w:sz w:val="22"/>
      </w:rPr>
      <w:tblPr/>
      <w:tcPr>
        <w:tcBorders>
          <w:left w:val="single" w:sz="12" w:space="0" w:color="C99C00" w:themeColor="accent5"/>
        </w:tcBorders>
      </w:tcPr>
    </w:tblStylePr>
    <w:tblStylePr w:type="band1Horz">
      <w:rPr>
        <w:sz w:val="22"/>
      </w:rPr>
      <w:tblPr/>
      <w:tcPr>
        <w:tcBorders>
          <w:top w:val="single" w:sz="4" w:space="0" w:color="C99C00" w:themeColor="accent5"/>
          <w:left w:val="single" w:sz="4" w:space="0" w:color="C99C00" w:themeColor="accent5"/>
          <w:bottom w:val="single" w:sz="4" w:space="0" w:color="C99C00" w:themeColor="accent5"/>
          <w:right w:val="single" w:sz="4" w:space="0" w:color="C99C00" w:themeColor="accent5"/>
        </w:tcBorders>
      </w:tcPr>
    </w:tblStylePr>
  </w:style>
  <w:style w:type="table" w:customStyle="1" w:styleId="Bordered-Accent6">
    <w:name w:val="Bordered - Accent 6"/>
    <w:uiPriority w:val="99"/>
    <w:rsid w:val="00B52DE3"/>
    <w:tblPr>
      <w:tblStyleRowBandSize w:val="1"/>
      <w:tblStyleColBandSize w:val="1"/>
      <w:tbl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insideH w:val="single" w:sz="4" w:space="0" w:color="F09D9C" w:themeColor="accent6" w:themeTint="67"/>
        <w:insideV w:val="single" w:sz="4" w:space="0" w:color="F09D9C" w:themeColor="accent6" w:themeTint="67"/>
      </w:tblBorders>
      <w:tblCellMar>
        <w:top w:w="0" w:type="dxa"/>
        <w:left w:w="0" w:type="dxa"/>
        <w:bottom w:w="0" w:type="dxa"/>
        <w:right w:w="0" w:type="dxa"/>
      </w:tblCellMar>
    </w:tblPr>
    <w:tblStylePr w:type="firstRow">
      <w:rPr>
        <w:sz w:val="22"/>
      </w:rPr>
      <w:tblPr/>
      <w:tcPr>
        <w:tcBorders>
          <w:bottom w:val="single" w:sz="12" w:space="0" w:color="C9211E" w:themeColor="accent6"/>
        </w:tcBorders>
      </w:tcPr>
    </w:tblStylePr>
    <w:tblStylePr w:type="lastRow">
      <w:rPr>
        <w:sz w:val="22"/>
      </w:rPr>
      <w:tblPr/>
      <w:tcPr>
        <w:tcBorders>
          <w:top w:val="single" w:sz="12" w:space="0" w:color="C9211E" w:themeColor="accent6"/>
        </w:tcBorders>
      </w:tcPr>
    </w:tblStylePr>
    <w:tblStylePr w:type="firstCol">
      <w:rPr>
        <w:sz w:val="22"/>
      </w:rPr>
    </w:tblStylePr>
    <w:tblStylePr w:type="lastCol">
      <w:rPr>
        <w:sz w:val="22"/>
      </w:rPr>
      <w:tblPr/>
      <w:tcPr>
        <w:tcBorders>
          <w:left w:val="single" w:sz="12" w:space="0" w:color="C9211E" w:themeColor="accent6"/>
        </w:tcBorders>
      </w:tcPr>
    </w:tblStylePr>
    <w:tblStylePr w:type="band1Horz">
      <w:rPr>
        <w:sz w:val="22"/>
      </w:rPr>
      <w:tblPr/>
      <w:tcPr>
        <w:tcBorders>
          <w:top w:val="single" w:sz="4" w:space="0" w:color="C9211E" w:themeColor="accent6"/>
          <w:left w:val="single" w:sz="4" w:space="0" w:color="C9211E" w:themeColor="accent6"/>
          <w:bottom w:val="single" w:sz="4" w:space="0" w:color="C9211E" w:themeColor="accent6"/>
          <w:right w:val="single" w:sz="4" w:space="0" w:color="C9211E" w:themeColor="accent6"/>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hart" Target="charts/chart1.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s://adm-ussuriisk.ru/administrationUGO/podvedomstvennye_uchrezhdeniya_i_predpriyatiya1/ao_ussuriyskoe_predpriyatie_teplovykh_setey/" TargetMode="External"/><Relationship Id="rId25"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chart" Target="charts/chart3.xml"/><Relationship Id="rId10" Type="http://schemas.openxmlformats.org/officeDocument/2006/relationships/image" Target="media/image4.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chart" Target="charts/chart2.xml"/><Relationship Id="rId22" Type="http://schemas.openxmlformats.org/officeDocument/2006/relationships/theme" Target="theme/them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0"/>
      <c:rotY val="0"/>
      <c:perspective val="100"/>
    </c:view3D>
    <c:floor>
      <c:spPr>
        <a:solidFill>
          <a:srgbClr val="F2F2F2"/>
        </a:solidFill>
        <a:ln w="6480">
          <a:noFill/>
          <a:miter/>
        </a:ln>
      </c:spPr>
    </c:floor>
    <c:sideWall>
      <c:spPr>
        <a:noFill/>
        <a:ln w="25560">
          <a:noFill/>
        </a:ln>
      </c:spPr>
    </c:sideWall>
    <c:backWall>
      <c:spPr>
        <a:noFill/>
        <a:ln w="25560">
          <a:noFill/>
          <a:bevel/>
        </a:ln>
      </c:spPr>
    </c:backWall>
    <c:plotArea>
      <c:layout>
        <c:manualLayout>
          <c:layoutTarget val="inner"/>
          <c:xMode val="edge"/>
          <c:yMode val="edge"/>
          <c:x val="0.102688"/>
          <c:y val="0.13477800000000001"/>
          <c:w val="0.85806199999999999"/>
          <c:h val="0.77677800000000152"/>
        </c:manualLayout>
      </c:layout>
      <c:bar3DChart>
        <c:barDir val="col"/>
        <c:grouping val="clustered"/>
        <c:ser>
          <c:idx val="0"/>
          <c:order val="0"/>
          <c:tx>
            <c:strRef>
              <c:f>label 0</c:f>
              <c:strCache>
                <c:ptCount val="1"/>
                <c:pt idx="0">
                  <c:v>До 14 лет</c:v>
                </c:pt>
              </c:strCache>
            </c:strRef>
          </c:tx>
          <c:spPr>
            <a:solidFill>
              <a:srgbClr val="4472C4">
                <a:alpha val="85000"/>
              </a:srgbClr>
            </a:solidFill>
            <a:ln w="9360">
              <a:solidFill>
                <a:srgbClr val="2F5597"/>
              </a:solidFill>
              <a:round/>
            </a:ln>
          </c:spPr>
          <c:dLbls>
            <c:numFmt formatCode="&quot;Основной&quot;" sourceLinked="0"/>
            <c:txPr>
              <a:bodyPr wrap="square"/>
              <a:lstStyle/>
              <a:p>
                <a:pPr>
                  <a:defRPr sz="900" b="0" u="none" strike="noStrike">
                    <a:solidFill>
                      <a:srgbClr val="404040"/>
                    </a:solidFill>
                    <a:latin typeface="Calibri"/>
                    <a:ea typeface="Arial"/>
                  </a:defRPr>
                </a:pPr>
                <a:endParaRPr lang="ru-RU"/>
              </a:p>
            </c:txPr>
            <c:showVal val="1"/>
            <c:separator>; </c:separator>
          </c:dLbls>
          <c:cat>
            <c:strRef>
              <c:f>categories</c:f>
              <c:strCache>
                <c:ptCount val="2"/>
                <c:pt idx="0">
                  <c:v>Основной</c:v>
                </c:pt>
                <c:pt idx="1">
                  <c:v>Основной</c:v>
                </c:pt>
              </c:strCache>
            </c:strRef>
          </c:cat>
          <c:val>
            <c:numRef>
              <c:f>0</c:f>
              <c:numCache>
                <c:formatCode>General</c:formatCode>
                <c:ptCount val="2"/>
                <c:pt idx="0">
                  <c:v>2171</c:v>
                </c:pt>
                <c:pt idx="1">
                  <c:v>2210</c:v>
                </c:pt>
              </c:numCache>
            </c:numRef>
          </c:val>
        </c:ser>
        <c:ser>
          <c:idx val="1"/>
          <c:order val="1"/>
          <c:tx>
            <c:strRef>
              <c:f>label 1</c:f>
              <c:strCache>
                <c:ptCount val="1"/>
                <c:pt idx="0">
                  <c:v>15-35</c:v>
                </c:pt>
              </c:strCache>
            </c:strRef>
          </c:tx>
          <c:spPr>
            <a:solidFill>
              <a:srgbClr val="ED7D31">
                <a:alpha val="85000"/>
              </a:srgbClr>
            </a:solidFill>
            <a:ln w="9360">
              <a:solidFill>
                <a:srgbClr val="C55A11"/>
              </a:solidFill>
              <a:round/>
            </a:ln>
          </c:spPr>
          <c:dLbls>
            <c:numFmt formatCode="&quot;Основной&quot;" sourceLinked="0"/>
            <c:txPr>
              <a:bodyPr wrap="square"/>
              <a:lstStyle/>
              <a:p>
                <a:pPr>
                  <a:defRPr sz="900" b="0" u="none" strike="noStrike">
                    <a:solidFill>
                      <a:srgbClr val="404040"/>
                    </a:solidFill>
                    <a:latin typeface="Calibri"/>
                    <a:ea typeface="Arial"/>
                  </a:defRPr>
                </a:pPr>
                <a:endParaRPr lang="ru-RU"/>
              </a:p>
            </c:txPr>
            <c:showVal val="1"/>
            <c:separator>; </c:separator>
          </c:dLbls>
          <c:cat>
            <c:strRef>
              <c:f>categories</c:f>
              <c:strCache>
                <c:ptCount val="2"/>
                <c:pt idx="0">
                  <c:v>Основной</c:v>
                </c:pt>
                <c:pt idx="1">
                  <c:v>Основной</c:v>
                </c:pt>
              </c:strCache>
            </c:strRef>
          </c:cat>
          <c:val>
            <c:numRef>
              <c:f>1</c:f>
              <c:numCache>
                <c:formatCode>General</c:formatCode>
                <c:ptCount val="2"/>
                <c:pt idx="0">
                  <c:v>313</c:v>
                </c:pt>
                <c:pt idx="1">
                  <c:v>336</c:v>
                </c:pt>
              </c:numCache>
            </c:numRef>
          </c:val>
        </c:ser>
        <c:ser>
          <c:idx val="2"/>
          <c:order val="2"/>
          <c:tx>
            <c:strRef>
              <c:f>label 2</c:f>
              <c:strCache>
                <c:ptCount val="1"/>
                <c:pt idx="0">
                  <c:v>Взрослые</c:v>
                </c:pt>
              </c:strCache>
            </c:strRef>
          </c:tx>
          <c:spPr>
            <a:solidFill>
              <a:srgbClr val="A5A5A5">
                <a:alpha val="85000"/>
              </a:srgbClr>
            </a:solidFill>
            <a:ln w="9360">
              <a:solidFill>
                <a:srgbClr val="7C7C7C"/>
              </a:solidFill>
              <a:round/>
            </a:ln>
          </c:spPr>
          <c:dLbls>
            <c:numFmt formatCode="&quot;Основной&quot;" sourceLinked="0"/>
            <c:txPr>
              <a:bodyPr wrap="square"/>
              <a:lstStyle/>
              <a:p>
                <a:pPr>
                  <a:defRPr sz="900" b="0" u="none" strike="noStrike">
                    <a:solidFill>
                      <a:srgbClr val="404040"/>
                    </a:solidFill>
                    <a:latin typeface="Calibri"/>
                    <a:ea typeface="Arial"/>
                  </a:defRPr>
                </a:pPr>
                <a:endParaRPr lang="ru-RU"/>
              </a:p>
            </c:txPr>
            <c:showVal val="1"/>
            <c:separator>; </c:separator>
          </c:dLbls>
          <c:cat>
            <c:strRef>
              <c:f>categories</c:f>
              <c:strCache>
                <c:ptCount val="2"/>
                <c:pt idx="0">
                  <c:v>Основной</c:v>
                </c:pt>
                <c:pt idx="1">
                  <c:v>Основной</c:v>
                </c:pt>
              </c:strCache>
            </c:strRef>
          </c:cat>
          <c:val>
            <c:numRef>
              <c:f>2</c:f>
              <c:numCache>
                <c:formatCode>General</c:formatCode>
                <c:ptCount val="2"/>
                <c:pt idx="0">
                  <c:v>1073</c:v>
                </c:pt>
                <c:pt idx="1">
                  <c:v>1011</c:v>
                </c:pt>
              </c:numCache>
            </c:numRef>
          </c:val>
        </c:ser>
        <c:gapWidth val="65"/>
        <c:shape val="box"/>
        <c:axId val="104572416"/>
        <c:axId val="119722752"/>
        <c:axId val="0"/>
      </c:bar3DChart>
      <c:catAx>
        <c:axId val="104572416"/>
        <c:scaling>
          <c:orientation val="minMax"/>
        </c:scaling>
        <c:axPos val="b"/>
        <c:numFmt formatCode="&quot;Основной&quot;" sourceLinked="0"/>
        <c:majorTickMark val="none"/>
        <c:tickLblPos val="nextTo"/>
        <c:spPr>
          <a:ln w="19080">
            <a:solidFill>
              <a:srgbClr val="404040"/>
            </a:solidFill>
            <a:round/>
          </a:ln>
        </c:spPr>
        <c:txPr>
          <a:bodyPr/>
          <a:lstStyle/>
          <a:p>
            <a:pPr>
              <a:defRPr sz="900" b="0" u="none" strike="noStrike">
                <a:solidFill>
                  <a:srgbClr val="404040"/>
                </a:solidFill>
                <a:latin typeface="Calibri"/>
                <a:ea typeface="Arial"/>
              </a:defRPr>
            </a:pPr>
            <a:endParaRPr lang="ru-RU"/>
          </a:p>
        </c:txPr>
        <c:crossAx val="119722752"/>
        <c:crosses val="autoZero"/>
        <c:auto val="1"/>
        <c:lblAlgn val="ctr"/>
        <c:lblOffset val="100"/>
      </c:catAx>
      <c:valAx>
        <c:axId val="119722752"/>
        <c:scaling>
          <c:orientation val="minMax"/>
        </c:scaling>
        <c:axPos val="l"/>
        <c:majorGridlines>
          <c:spPr>
            <a:ln w="9360">
              <a:solidFill>
                <a:srgbClr val="D9D9D9"/>
              </a:solidFill>
              <a:round/>
            </a:ln>
          </c:spPr>
        </c:majorGridlines>
        <c:numFmt formatCode="&quot;Основной&quot;" sourceLinked="0"/>
        <c:majorTickMark val="none"/>
        <c:tickLblPos val="nextTo"/>
        <c:spPr>
          <a:ln w="6480">
            <a:noFill/>
          </a:ln>
        </c:spPr>
        <c:txPr>
          <a:bodyPr/>
          <a:lstStyle/>
          <a:p>
            <a:pPr>
              <a:defRPr sz="900" b="0" u="none" strike="noStrike">
                <a:solidFill>
                  <a:srgbClr val="404040"/>
                </a:solidFill>
                <a:latin typeface="Calibri"/>
                <a:ea typeface="Arial"/>
              </a:defRPr>
            </a:pPr>
            <a:endParaRPr lang="ru-RU"/>
          </a:p>
        </c:txPr>
        <c:crossAx val="104572416"/>
        <c:crosses val="autoZero"/>
        <c:crossBetween val="between"/>
      </c:valAx>
    </c:plotArea>
    <c:legend>
      <c:legendPos val="b"/>
      <c:layout/>
      <c:spPr>
        <a:solidFill>
          <a:srgbClr val="F2F2F2">
            <a:alpha val="39000"/>
          </a:srgbClr>
        </a:solidFill>
        <a:ln w="0">
          <a:noFill/>
        </a:ln>
      </c:spPr>
      <c:txPr>
        <a:bodyPr/>
        <a:lstStyle/>
        <a:p>
          <a:pPr>
            <a:defRPr sz="900" b="0" u="none" strike="noStrike">
              <a:solidFill>
                <a:srgbClr val="404040"/>
              </a:solidFill>
              <a:latin typeface="Calibri"/>
              <a:ea typeface="Arial"/>
            </a:defRPr>
          </a:pPr>
          <a:endParaRPr lang="ru-RU"/>
        </a:p>
      </c:txPr>
    </c:legend>
    <c:plotVisOnly val="1"/>
    <c:dispBlanksAs val="gap"/>
  </c:chart>
  <c:spPr>
    <a:gradFill>
      <a:gsLst>
        <a:gs pos="0">
          <a:srgbClr val="BFBFBF"/>
        </a:gs>
        <a:gs pos="61000">
          <a:srgbClr val="FFFFFF"/>
        </a:gs>
        <a:gs pos="100000">
          <a:srgbClr val="FFFFFF"/>
        </a:gs>
      </a:gsLst>
      <a:lin ang="13500000" scaled="1"/>
    </a:gradFill>
    <a:ln w="9360">
      <a:solidFill>
        <a:srgbClr val="BFBFBF"/>
      </a:solidFill>
      <a:round/>
    </a:ln>
  </c:spPr>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0"/>
      <c:rotY val="0"/>
      <c:perspective val="100"/>
    </c:view3D>
    <c:floor>
      <c:spPr>
        <a:solidFill>
          <a:srgbClr val="F2F2F2"/>
        </a:solidFill>
        <a:ln w="6480">
          <a:noFill/>
        </a:ln>
      </c:spPr>
    </c:floor>
    <c:sideWall>
      <c:spPr>
        <a:noFill/>
        <a:ln w="25560">
          <a:noFill/>
        </a:ln>
      </c:spPr>
    </c:sideWall>
    <c:backWall>
      <c:spPr>
        <a:noFill/>
        <a:ln w="25560">
          <a:noFill/>
        </a:ln>
      </c:spPr>
    </c:backWall>
    <c:plotArea>
      <c:layout>
        <c:manualLayout>
          <c:layoutTarget val="inner"/>
          <c:xMode val="edge"/>
          <c:yMode val="edge"/>
          <c:x val="0.102688"/>
          <c:y val="0.13477800000000001"/>
          <c:w val="0.85806199999999999"/>
          <c:h val="0.77677800000000174"/>
        </c:manualLayout>
      </c:layout>
      <c:bar3DChart>
        <c:barDir val="col"/>
        <c:grouping val="clustered"/>
        <c:ser>
          <c:idx val="0"/>
          <c:order val="0"/>
          <c:tx>
            <c:strRef>
              <c:f>label 0</c:f>
              <c:strCache>
                <c:ptCount val="1"/>
                <c:pt idx="0">
                  <c:v>До 14 лет</c:v>
                </c:pt>
              </c:strCache>
            </c:strRef>
          </c:tx>
          <c:spPr>
            <a:solidFill>
              <a:srgbClr val="4472C4">
                <a:alpha val="85000"/>
              </a:srgbClr>
            </a:solidFill>
            <a:ln w="9360">
              <a:solidFill>
                <a:srgbClr val="2F5597"/>
              </a:solidFill>
              <a:round/>
            </a:ln>
          </c:spPr>
          <c:dLbls>
            <c:numFmt formatCode="&quot;Основной&quot;" sourceLinked="0"/>
            <c:txPr>
              <a:bodyPr wrap="square"/>
              <a:lstStyle/>
              <a:p>
                <a:pPr>
                  <a:defRPr sz="900" b="0" u="none" strike="noStrike">
                    <a:solidFill>
                      <a:srgbClr val="404040"/>
                    </a:solidFill>
                    <a:latin typeface="Calibri"/>
                    <a:ea typeface="Arial"/>
                  </a:defRPr>
                </a:pPr>
                <a:endParaRPr lang="ru-RU"/>
              </a:p>
            </c:txPr>
            <c:showVal val="1"/>
            <c:separator>; </c:separator>
          </c:dLbls>
          <c:cat>
            <c:strRef>
              <c:f>categories</c:f>
              <c:strCache>
                <c:ptCount val="2"/>
                <c:pt idx="0">
                  <c:v>Основной</c:v>
                </c:pt>
                <c:pt idx="1">
                  <c:v>Основной</c:v>
                </c:pt>
              </c:strCache>
            </c:strRef>
          </c:cat>
          <c:val>
            <c:numRef>
              <c:f>0</c:f>
              <c:numCache>
                <c:formatCode>General</c:formatCode>
                <c:ptCount val="2"/>
                <c:pt idx="0">
                  <c:v>2171</c:v>
                </c:pt>
                <c:pt idx="1">
                  <c:v>2210</c:v>
                </c:pt>
              </c:numCache>
            </c:numRef>
          </c:val>
        </c:ser>
        <c:ser>
          <c:idx val="1"/>
          <c:order val="1"/>
          <c:tx>
            <c:strRef>
              <c:f>label 1</c:f>
              <c:strCache>
                <c:ptCount val="1"/>
                <c:pt idx="0">
                  <c:v>15-35</c:v>
                </c:pt>
              </c:strCache>
            </c:strRef>
          </c:tx>
          <c:spPr>
            <a:solidFill>
              <a:srgbClr val="ED7D31">
                <a:alpha val="85000"/>
              </a:srgbClr>
            </a:solidFill>
            <a:ln w="9360">
              <a:solidFill>
                <a:srgbClr val="C55A11"/>
              </a:solidFill>
              <a:round/>
            </a:ln>
          </c:spPr>
          <c:dLbls>
            <c:numFmt formatCode="&quot;Основной&quot;" sourceLinked="0"/>
            <c:txPr>
              <a:bodyPr wrap="square"/>
              <a:lstStyle/>
              <a:p>
                <a:pPr>
                  <a:defRPr sz="900" b="0" u="none" strike="noStrike">
                    <a:solidFill>
                      <a:srgbClr val="404040"/>
                    </a:solidFill>
                    <a:latin typeface="Calibri"/>
                    <a:ea typeface="Arial"/>
                  </a:defRPr>
                </a:pPr>
                <a:endParaRPr lang="ru-RU"/>
              </a:p>
            </c:txPr>
            <c:showVal val="1"/>
            <c:separator>; </c:separator>
          </c:dLbls>
          <c:cat>
            <c:strRef>
              <c:f>categories</c:f>
              <c:strCache>
                <c:ptCount val="2"/>
                <c:pt idx="0">
                  <c:v>Основной</c:v>
                </c:pt>
                <c:pt idx="1">
                  <c:v>Основной</c:v>
                </c:pt>
              </c:strCache>
            </c:strRef>
          </c:cat>
          <c:val>
            <c:numRef>
              <c:f>1</c:f>
              <c:numCache>
                <c:formatCode>General</c:formatCode>
                <c:ptCount val="2"/>
                <c:pt idx="0">
                  <c:v>313</c:v>
                </c:pt>
                <c:pt idx="1">
                  <c:v>336</c:v>
                </c:pt>
              </c:numCache>
            </c:numRef>
          </c:val>
        </c:ser>
        <c:ser>
          <c:idx val="2"/>
          <c:order val="2"/>
          <c:tx>
            <c:strRef>
              <c:f>label 2</c:f>
              <c:strCache>
                <c:ptCount val="1"/>
                <c:pt idx="0">
                  <c:v>Взрослые</c:v>
                </c:pt>
              </c:strCache>
            </c:strRef>
          </c:tx>
          <c:spPr>
            <a:solidFill>
              <a:srgbClr val="A5A5A5">
                <a:alpha val="85000"/>
              </a:srgbClr>
            </a:solidFill>
            <a:ln w="9360">
              <a:solidFill>
                <a:srgbClr val="7C7C7C"/>
              </a:solidFill>
              <a:round/>
            </a:ln>
          </c:spPr>
          <c:dLbls>
            <c:numFmt formatCode="&quot;Основной&quot;" sourceLinked="0"/>
            <c:txPr>
              <a:bodyPr wrap="square"/>
              <a:lstStyle/>
              <a:p>
                <a:pPr>
                  <a:defRPr sz="900" b="0" u="none" strike="noStrike">
                    <a:solidFill>
                      <a:srgbClr val="404040"/>
                    </a:solidFill>
                    <a:latin typeface="Calibri"/>
                    <a:ea typeface="Arial"/>
                  </a:defRPr>
                </a:pPr>
                <a:endParaRPr lang="ru-RU"/>
              </a:p>
            </c:txPr>
            <c:showVal val="1"/>
            <c:separator>; </c:separator>
          </c:dLbls>
          <c:cat>
            <c:strRef>
              <c:f>categories</c:f>
              <c:strCache>
                <c:ptCount val="2"/>
                <c:pt idx="0">
                  <c:v>Основной</c:v>
                </c:pt>
                <c:pt idx="1">
                  <c:v>Основной</c:v>
                </c:pt>
              </c:strCache>
            </c:strRef>
          </c:cat>
          <c:val>
            <c:numRef>
              <c:f>2</c:f>
              <c:numCache>
                <c:formatCode>General</c:formatCode>
                <c:ptCount val="2"/>
                <c:pt idx="0">
                  <c:v>1073</c:v>
                </c:pt>
                <c:pt idx="1">
                  <c:v>1011</c:v>
                </c:pt>
              </c:numCache>
            </c:numRef>
          </c:val>
        </c:ser>
        <c:gapWidth val="65"/>
        <c:shape val="box"/>
        <c:axId val="65906944"/>
        <c:axId val="65937408"/>
        <c:axId val="0"/>
      </c:bar3DChart>
      <c:catAx>
        <c:axId val="65906944"/>
        <c:scaling>
          <c:orientation val="minMax"/>
        </c:scaling>
        <c:axPos val="b"/>
        <c:numFmt formatCode="&quot;Основной&quot;" sourceLinked="0"/>
        <c:majorTickMark val="none"/>
        <c:tickLblPos val="nextTo"/>
        <c:spPr>
          <a:ln w="19080">
            <a:solidFill>
              <a:srgbClr val="404040"/>
            </a:solidFill>
            <a:round/>
          </a:ln>
        </c:spPr>
        <c:txPr>
          <a:bodyPr/>
          <a:lstStyle/>
          <a:p>
            <a:pPr>
              <a:defRPr sz="900" b="0" u="none" strike="noStrike">
                <a:solidFill>
                  <a:srgbClr val="404040"/>
                </a:solidFill>
                <a:latin typeface="Calibri"/>
                <a:ea typeface="Arial"/>
              </a:defRPr>
            </a:pPr>
            <a:endParaRPr lang="ru-RU"/>
          </a:p>
        </c:txPr>
        <c:crossAx val="65937408"/>
        <c:crosses val="autoZero"/>
        <c:auto val="1"/>
        <c:lblAlgn val="ctr"/>
        <c:lblOffset val="100"/>
      </c:catAx>
      <c:valAx>
        <c:axId val="65937408"/>
        <c:scaling>
          <c:orientation val="minMax"/>
        </c:scaling>
        <c:axPos val="l"/>
        <c:majorGridlines>
          <c:spPr>
            <a:ln w="9360">
              <a:solidFill>
                <a:srgbClr val="D9D9D9"/>
              </a:solidFill>
              <a:round/>
            </a:ln>
          </c:spPr>
        </c:majorGridlines>
        <c:numFmt formatCode="&quot;Основной&quot;" sourceLinked="0"/>
        <c:majorTickMark val="none"/>
        <c:tickLblPos val="nextTo"/>
        <c:spPr>
          <a:ln w="6480">
            <a:noFill/>
          </a:ln>
        </c:spPr>
        <c:txPr>
          <a:bodyPr/>
          <a:lstStyle/>
          <a:p>
            <a:pPr>
              <a:defRPr sz="900" b="0" u="none" strike="noStrike">
                <a:solidFill>
                  <a:srgbClr val="404040"/>
                </a:solidFill>
                <a:latin typeface="Calibri"/>
                <a:ea typeface="Arial"/>
              </a:defRPr>
            </a:pPr>
            <a:endParaRPr lang="ru-RU"/>
          </a:p>
        </c:txPr>
        <c:crossAx val="65906944"/>
        <c:crosses val="autoZero"/>
        <c:crossBetween val="between"/>
      </c:valAx>
    </c:plotArea>
    <c:legend>
      <c:legendPos val="b"/>
      <c:layout/>
      <c:spPr>
        <a:solidFill>
          <a:srgbClr val="F2F2F2">
            <a:alpha val="39000"/>
          </a:srgbClr>
        </a:solidFill>
        <a:ln w="0">
          <a:noFill/>
        </a:ln>
      </c:spPr>
      <c:txPr>
        <a:bodyPr/>
        <a:lstStyle/>
        <a:p>
          <a:pPr>
            <a:defRPr sz="900" b="0" u="none" strike="noStrike">
              <a:solidFill>
                <a:srgbClr val="404040"/>
              </a:solidFill>
              <a:latin typeface="Calibri"/>
              <a:ea typeface="Arial"/>
            </a:defRPr>
          </a:pPr>
          <a:endParaRPr lang="ru-RU"/>
        </a:p>
      </c:txPr>
    </c:legend>
    <c:plotVisOnly val="1"/>
    <c:dispBlanksAs val="gap"/>
  </c:chart>
  <c:spPr>
    <a:gradFill>
      <a:gsLst>
        <a:gs pos="0">
          <a:srgbClr val="BFBFBF"/>
        </a:gs>
        <a:gs pos="61000">
          <a:srgbClr val="FFFFFF"/>
        </a:gs>
        <a:gs pos="100000">
          <a:srgbClr val="FFFFFF"/>
        </a:gs>
      </a:gsLst>
      <a:lin ang="13500000" scaled="1"/>
    </a:gradFill>
    <a:ln w="9360">
      <a:solidFill>
        <a:srgbClr val="BFBFBF"/>
      </a:solidFill>
      <a:round/>
    </a:ln>
  </c:spPr>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rot="0"/>
          <a:lstStyle/>
          <a:p>
            <a:pPr>
              <a:defRPr sz="1300" b="0" u="none" strike="noStrike">
                <a:latin typeface="Arial"/>
              </a:defRPr>
            </a:pPr>
            <a:r>
              <a:rPr lang="ru-RU" sz="1100" b="1" u="none" strike="noStrike">
                <a:solidFill>
                  <a:srgbClr val="595959"/>
                </a:solidFill>
                <a:latin typeface="Times New Roman"/>
                <a:ea typeface="Arial"/>
              </a:rPr>
              <a:t>Количество ТОС, участников конкурса</a:t>
            </a:r>
            <a:endParaRPr/>
          </a:p>
        </c:rich>
      </c:tx>
      <c:spPr>
        <a:noFill/>
        <a:ln w="0">
          <a:noFill/>
        </a:ln>
      </c:spPr>
    </c:title>
    <c:plotArea>
      <c:layout/>
      <c:pieChart>
        <c:varyColors val="1"/>
        <c:ser>
          <c:idx val="0"/>
          <c:order val="0"/>
          <c:tx>
            <c:strRef>
              <c:f>label 0</c:f>
              <c:strCache>
                <c:ptCount val="1"/>
                <c:pt idx="0">
                  <c:v>Продажи</c:v>
                </c:pt>
              </c:strCache>
            </c:strRef>
          </c:tx>
          <c:spPr>
            <a:solidFill>
              <a:srgbClr val="4F81BD"/>
            </a:solidFill>
            <a:ln w="0">
              <a:noFill/>
            </a:ln>
          </c:spPr>
          <c:dPt>
            <c:idx val="0"/>
            <c:spPr>
              <a:solidFill>
                <a:srgbClr val="4F81BD"/>
              </a:solidFill>
              <a:ln w="19080">
                <a:solidFill>
                  <a:srgbClr val="FFFFFF"/>
                </a:solidFill>
                <a:round/>
              </a:ln>
            </c:spPr>
          </c:dPt>
          <c:dPt>
            <c:idx val="1"/>
            <c:spPr>
              <a:solidFill>
                <a:srgbClr val="C0504D"/>
              </a:solidFill>
              <a:ln w="19080">
                <a:solidFill>
                  <a:srgbClr val="FFFFFF"/>
                </a:solidFill>
                <a:round/>
              </a:ln>
            </c:spPr>
          </c:dPt>
          <c:dPt>
            <c:idx val="2"/>
            <c:spPr>
              <a:solidFill>
                <a:srgbClr val="9BBB59"/>
              </a:solidFill>
              <a:ln w="19080">
                <a:solidFill>
                  <a:srgbClr val="FFFFFF"/>
                </a:solidFill>
                <a:round/>
              </a:ln>
            </c:spPr>
          </c:dPt>
          <c:dPt>
            <c:idx val="3"/>
            <c:spPr>
              <a:solidFill>
                <a:srgbClr val="8064A2"/>
              </a:solidFill>
              <a:ln w="19080">
                <a:solidFill>
                  <a:srgbClr val="FFFFFF"/>
                </a:solidFill>
                <a:round/>
              </a:ln>
            </c:spPr>
          </c:dPt>
          <c:dLbls>
            <c:dLbl>
              <c:idx val="0"/>
              <c:numFmt formatCode="General" sourceLinked="0"/>
              <c:spPr/>
              <c:txPr>
                <a:bodyPr wrap="square"/>
                <a:lstStyle/>
                <a:p>
                  <a:pPr>
                    <a:defRPr sz="1600" b="0" u="none" strike="noStrike">
                      <a:solidFill>
                        <a:srgbClr val="404040"/>
                      </a:solidFill>
                      <a:latin typeface="Calibri"/>
                      <a:ea typeface="DejaVu Sans"/>
                    </a:defRPr>
                  </a:pPr>
                  <a:endParaRPr lang="ru-RU"/>
                </a:p>
              </c:txPr>
            </c:dLbl>
            <c:dLbl>
              <c:idx val="1"/>
              <c:numFmt formatCode="General" sourceLinked="0"/>
              <c:spPr/>
              <c:txPr>
                <a:bodyPr wrap="square"/>
                <a:lstStyle/>
                <a:p>
                  <a:pPr>
                    <a:defRPr sz="1600" b="0" u="none" strike="noStrike">
                      <a:solidFill>
                        <a:srgbClr val="404040"/>
                      </a:solidFill>
                      <a:latin typeface="Calibri"/>
                      <a:ea typeface="DejaVu Sans"/>
                    </a:defRPr>
                  </a:pPr>
                  <a:endParaRPr lang="ru-RU"/>
                </a:p>
              </c:txPr>
            </c:dLbl>
            <c:dLbl>
              <c:idx val="2"/>
              <c:numFmt formatCode="General" sourceLinked="0"/>
              <c:spPr/>
              <c:txPr>
                <a:bodyPr wrap="square"/>
                <a:lstStyle/>
                <a:p>
                  <a:pPr>
                    <a:defRPr sz="1600" b="0" u="none" strike="noStrike">
                      <a:solidFill>
                        <a:srgbClr val="404040"/>
                      </a:solidFill>
                      <a:latin typeface="Calibri"/>
                      <a:ea typeface="DejaVu Sans"/>
                    </a:defRPr>
                  </a:pPr>
                  <a:endParaRPr lang="ru-RU"/>
                </a:p>
              </c:txPr>
            </c:dLbl>
            <c:dLbl>
              <c:idx val="3"/>
              <c:numFmt formatCode="General" sourceLinked="0"/>
              <c:spPr/>
              <c:txPr>
                <a:bodyPr wrap="square"/>
                <a:lstStyle/>
                <a:p>
                  <a:pPr>
                    <a:defRPr sz="1600" b="0" u="none" strike="noStrike">
                      <a:solidFill>
                        <a:srgbClr val="404040"/>
                      </a:solidFill>
                      <a:latin typeface="Calibri"/>
                      <a:ea typeface="DejaVu Sans"/>
                    </a:defRPr>
                  </a:pPr>
                  <a:endParaRPr lang="ru-RU"/>
                </a:p>
              </c:txPr>
            </c:dLbl>
            <c:numFmt formatCode="General" sourceLinked="0"/>
            <c:txPr>
              <a:bodyPr wrap="square"/>
              <a:lstStyle/>
              <a:p>
                <a:pPr>
                  <a:defRPr sz="1600" b="0" u="none" strike="noStrike">
                    <a:solidFill>
                      <a:srgbClr val="404040"/>
                    </a:solidFill>
                    <a:latin typeface="Calibri"/>
                    <a:ea typeface="Arial"/>
                  </a:defRPr>
                </a:pPr>
                <a:endParaRPr lang="ru-RU"/>
              </a:p>
            </c:txPr>
            <c:dLblPos val="bestFit"/>
            <c:showVal val="1"/>
            <c:separator>; </c:separator>
            <c:showLeaderLines val="1"/>
            <c:leaderLines>
              <c:spPr>
                <a:ln>
                  <a:solidFill>
                    <a:srgbClr val="A6A6A6"/>
                  </a:solidFill>
                </a:ln>
              </c:spPr>
            </c:leaderLines>
          </c:dLbls>
          <c:cat>
            <c:strRef>
              <c:f>categories</c:f>
              <c:strCache>
                <c:ptCount val="4"/>
                <c:pt idx="0">
                  <c:v>2022</c:v>
                </c:pt>
                <c:pt idx="1">
                  <c:v>2023</c:v>
                </c:pt>
                <c:pt idx="2">
                  <c:v>2024</c:v>
                </c:pt>
                <c:pt idx="3">
                  <c:v>2025</c:v>
                </c:pt>
              </c:strCache>
            </c:strRef>
          </c:cat>
          <c:val>
            <c:numRef>
              <c:f>0</c:f>
              <c:numCache>
                <c:formatCode>General</c:formatCode>
                <c:ptCount val="4"/>
                <c:pt idx="0">
                  <c:v>6</c:v>
                </c:pt>
                <c:pt idx="1">
                  <c:v>16</c:v>
                </c:pt>
                <c:pt idx="2">
                  <c:v>18</c:v>
                </c:pt>
                <c:pt idx="3">
                  <c:v>8</c:v>
                </c:pt>
              </c:numCache>
            </c:numRef>
          </c:val>
        </c:ser>
        <c:firstSliceAng val="0"/>
      </c:pieChart>
      <c:spPr>
        <a:noFill/>
        <a:ln w="0">
          <a:noFill/>
        </a:ln>
      </c:spPr>
    </c:plotArea>
    <c:legend>
      <c:legendPos val="b"/>
      <c:layout>
        <c:manualLayout>
          <c:xMode val="edge"/>
          <c:yMode val="edge"/>
          <c:x val="0.15368800000000021"/>
          <c:y val="0.88322199999999951"/>
          <c:w val="0.76636000000000004"/>
          <c:h val="8.1120000000000025E-2"/>
        </c:manualLayout>
      </c:layout>
      <c:spPr>
        <a:noFill/>
        <a:ln w="0">
          <a:noFill/>
        </a:ln>
      </c:spPr>
      <c:txPr>
        <a:bodyPr/>
        <a:lstStyle/>
        <a:p>
          <a:pPr>
            <a:defRPr sz="1200" b="1" u="none" strike="noStrike">
              <a:solidFill>
                <a:srgbClr val="595959"/>
              </a:solidFill>
              <a:latin typeface="Calibri"/>
              <a:ea typeface="Arial"/>
            </a:defRPr>
          </a:pPr>
          <a:endParaRPr lang="ru-RU"/>
        </a:p>
      </c:txPr>
    </c:legend>
    <c:plotVisOnly val="1"/>
    <c:dispBlanksAs val="zero"/>
  </c:chart>
  <c:spPr>
    <a:solidFill>
      <a:srgbClr val="FFFFFF"/>
    </a:solidFill>
    <a:ln w="9360">
      <a:solidFill>
        <a:srgbClr val="D9D9D9"/>
      </a:solidFill>
      <a:round/>
    </a:ln>
  </c:spPr>
</c:chartSpace>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295</Pages>
  <Words>70760</Words>
  <Characters>403334</Characters>
  <Application>Microsoft Office Word</Application>
  <DocSecurity>0</DocSecurity>
  <Lines>3361</Lines>
  <Paragraphs>946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Александровна Тесленко</dc:creator>
  <dc:description/>
  <cp:lastModifiedBy>spec</cp:lastModifiedBy>
  <cp:revision>162</cp:revision>
  <cp:lastPrinted>2026-05-07T05:27:00Z</cp:lastPrinted>
  <dcterms:created xsi:type="dcterms:W3CDTF">2025-04-17T05:17:00Z</dcterms:created>
  <dcterms:modified xsi:type="dcterms:W3CDTF">2026-05-21T01:26:00Z</dcterms:modified>
  <dc:language>ru-RU</dc:language>
  <cp:version>917504</cp:version>
</cp:coreProperties>
</file>